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620939" w14:textId="77777777" w:rsidR="0094287D" w:rsidRDefault="00000000">
      <w:pPr>
        <w:pStyle w:val="Title"/>
      </w:pPr>
      <w:r>
        <w:t>Hire Ed: Job Market Dynamics for Tenure-Track Faculty Positions in Archaeology</w:t>
      </w:r>
    </w:p>
    <w:p w14:paraId="1C087CBE" w14:textId="77777777" w:rsidR="0094287D" w:rsidRDefault="00000000">
      <w:pPr>
        <w:pStyle w:val="Author"/>
      </w:pPr>
      <w:r>
        <w:t>Ben Marwick</w:t>
      </w:r>
      <w:r>
        <w:rPr>
          <w:vertAlign w:val="superscript"/>
        </w:rPr>
        <w:t>1,✉</w:t>
      </w:r>
      <w:r>
        <w:t>, Anne Marie Poole</w:t>
      </w:r>
      <w:r>
        <w:rPr>
          <w:vertAlign w:val="superscript"/>
        </w:rPr>
        <w:t>1</w:t>
      </w:r>
      <w:r>
        <w:t>, Ailin Zhang</w:t>
      </w:r>
      <w:r>
        <w:rPr>
          <w:vertAlign w:val="superscript"/>
        </w:rPr>
        <w:t>1</w:t>
      </w:r>
      <w:r>
        <w:t>, Setareh Shafizadeh</w:t>
      </w:r>
      <w:r>
        <w:rPr>
          <w:vertAlign w:val="superscript"/>
        </w:rPr>
        <w:t>1</w:t>
      </w:r>
      <w:r>
        <w:t>, and Jess Beck</w:t>
      </w:r>
      <w:r>
        <w:rPr>
          <w:vertAlign w:val="superscript"/>
        </w:rPr>
        <w:t>2</w:t>
      </w:r>
    </w:p>
    <w:p w14:paraId="0CA63EDF" w14:textId="77777777" w:rsidR="0094287D" w:rsidRDefault="00000000">
      <w:pPr>
        <w:pStyle w:val="Date"/>
      </w:pPr>
      <w:r>
        <w:t>January 25, 2025</w:t>
      </w:r>
    </w:p>
    <w:p w14:paraId="60C6AD2D" w14:textId="77777777" w:rsidR="0094287D" w:rsidRDefault="00000000">
      <w:r>
        <w:t>Abstract</w:t>
      </w:r>
    </w:p>
    <w:p w14:paraId="40EE9215" w14:textId="77777777" w:rsidR="0094287D" w:rsidRDefault="00000000">
      <w:pPr>
        <w:pStyle w:val="Abstract"/>
      </w:pPr>
      <w:r>
        <w:t>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w:t>
      </w:r>
    </w:p>
    <w:p w14:paraId="1B66F756" w14:textId="77777777" w:rsidR="0094287D" w:rsidRDefault="00000000">
      <w:pPr>
        <w:pStyle w:val="FirstParagraph"/>
      </w:pPr>
      <w:r>
        <w:rPr>
          <w:vertAlign w:val="superscript"/>
        </w:rPr>
        <w:t>1</w:t>
      </w:r>
      <w:r>
        <w:t xml:space="preserve"> Department of Anthropology, University of Washington, Seattle, USA</w:t>
      </w:r>
      <w:r>
        <w:br/>
      </w:r>
      <w:r>
        <w:rPr>
          <w:vertAlign w:val="superscript"/>
        </w:rPr>
        <w:t>2</w:t>
      </w:r>
      <w:r>
        <w:t xml:space="preserve"> School of Archaeology, University College Dublin, Ireland</w:t>
      </w:r>
    </w:p>
    <w:p w14:paraId="582B7190" w14:textId="77777777" w:rsidR="0094287D" w:rsidRDefault="00000000">
      <w:pPr>
        <w:pStyle w:val="BodyText"/>
      </w:pPr>
      <w:r>
        <w:rPr>
          <w:vertAlign w:val="superscript"/>
        </w:rPr>
        <w:t>✉</w:t>
      </w:r>
      <w:r>
        <w:t xml:space="preserve"> Correspondence: </w:t>
      </w:r>
      <w:hyperlink r:id="rId5">
        <w:r>
          <w:rPr>
            <w:rStyle w:val="Hyperlink"/>
          </w:rPr>
          <w:t>Ben Marwick &lt;bmarwick@uw.edu&gt;</w:t>
        </w:r>
      </w:hyperlink>
    </w:p>
    <w:p w14:paraId="15B07A8E" w14:textId="77777777" w:rsidR="0094287D" w:rsidRDefault="00000000">
      <w:pPr>
        <w:pStyle w:val="BodyText"/>
      </w:pPr>
      <w:r>
        <w:t>Keywords: archaeology; hiring; academia; job ads</w:t>
      </w:r>
    </w:p>
    <w:p w14:paraId="2E5A59E0" w14:textId="77777777" w:rsidR="0094287D" w:rsidRDefault="00000000">
      <w:pPr>
        <w:pStyle w:val="BodyText"/>
      </w:pPr>
      <w:r>
        <w:t>Highlights: These are the highlights.</w:t>
      </w:r>
    </w:p>
    <w:tbl>
      <w:tblPr>
        <w:tblW w:w="5000" w:type="pct"/>
        <w:tblLayout w:type="fixed"/>
        <w:tblLook w:val="0000" w:firstRow="0" w:lastRow="0" w:firstColumn="0" w:lastColumn="0" w:noHBand="0" w:noVBand="0"/>
      </w:tblPr>
      <w:tblGrid>
        <w:gridCol w:w="9576"/>
      </w:tblGrid>
      <w:tr w:rsidR="0094287D" w14:paraId="424ECF96" w14:textId="77777777">
        <w:tc>
          <w:tcPr>
            <w:tcW w:w="7920" w:type="dxa"/>
          </w:tcPr>
          <w:p w14:paraId="5B36BA5E" w14:textId="77777777" w:rsidR="0094287D" w:rsidRDefault="00000000">
            <w:pPr>
              <w:pStyle w:val="Compact"/>
              <w:jc w:val="center"/>
            </w:pPr>
            <w:bookmarkStart w:id="0" w:name="fig-show-basic-plots"/>
            <w:r>
              <w:rPr>
                <w:noProof/>
              </w:rPr>
              <w:lastRenderedPageBreak/>
              <w:drawing>
                <wp:inline distT="0" distB="0" distL="0" distR="0" wp14:anchorId="368639BC" wp14:editId="5661AC99">
                  <wp:extent cx="5943600" cy="4245428"/>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fig-panel-per-year.png"/>
                          <pic:cNvPicPr>
                            <a:picLocks noChangeAspect="1" noChangeArrowheads="1"/>
                          </pic:cNvPicPr>
                        </pic:nvPicPr>
                        <pic:blipFill>
                          <a:blip r:embed="rId6"/>
                          <a:stretch>
                            <a:fillRect/>
                          </a:stretch>
                        </pic:blipFill>
                        <pic:spPr bwMode="auto">
                          <a:xfrm>
                            <a:off x="0" y="0"/>
                            <a:ext cx="5943600" cy="4245428"/>
                          </a:xfrm>
                          <a:prstGeom prst="rect">
                            <a:avLst/>
                          </a:prstGeom>
                          <a:noFill/>
                          <a:ln w="9525">
                            <a:noFill/>
                            <a:headEnd/>
                            <a:tailEnd/>
                          </a:ln>
                        </pic:spPr>
                      </pic:pic>
                    </a:graphicData>
                  </a:graphic>
                </wp:inline>
              </w:drawing>
            </w:r>
          </w:p>
          <w:p w14:paraId="5D9899BD" w14:textId="77777777" w:rsidR="0094287D" w:rsidRDefault="00000000">
            <w:pPr>
              <w:pStyle w:val="ImageCaption"/>
              <w:spacing w:before="200"/>
            </w:pPr>
            <w:r>
              <w:t>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tc>
        <w:bookmarkEnd w:id="0"/>
      </w:tr>
    </w:tbl>
    <w:p w14:paraId="647E84DB" w14:textId="77777777" w:rsidR="0094287D" w:rsidRDefault="00000000">
      <w:pPr>
        <w:pStyle w:val="Heading1"/>
      </w:pPr>
      <w:bookmarkStart w:id="1" w:name="introduction"/>
      <w:r>
        <w:t>Introduction</w:t>
      </w:r>
    </w:p>
    <w:p w14:paraId="64BBBDD1" w14:textId="77777777" w:rsidR="0094287D" w:rsidRDefault="00000000">
      <w:pPr>
        <w:pStyle w:val="FirstParagraph"/>
      </w:pPr>
      <w:r>
        <w:t>Attend any workshop, conference, or panel that includes early career researchers and the conversation will be steered inexorably towards the academic job market: who is hiring, who has attained a tenure-track position, and who is out of luck this season. This obsessive focus on career trajectories is warranted. As of 2019, 53.5% of colleges and universities had replaced tenure-eligible lines with contingent positions (“The 2022 AAUP survey of tenure practices,” 2022); today, 71% of faculty in the US are non-tenure-track (Culver and Kezar, 2022) . The erosion of permanent jobs in American higher education is linked to a complex intersection of political and economic factors (Beck, n.d.), including decreasing federal support for higher education, concomitant increases in student debt (Gusterson, 2017), a pronounced shift in university investment from faculty to administration (Graeber, 2018, pp. 162–163), and the growing privatization and market orientation of scientific research (Mirowski, 2011).</w:t>
      </w:r>
    </w:p>
    <w:p w14:paraId="116DE939" w14:textId="77777777" w:rsidR="0094287D" w:rsidRDefault="00000000">
      <w:pPr>
        <w:pStyle w:val="BodyText"/>
      </w:pPr>
      <w:r>
        <w:lastRenderedPageBreak/>
        <w:t>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 “an awareness… that standards have changed during the last thirty years and the quantitative and qualitative demands for entry into the system are immeasurably higher now” (1992, p. 66).</w:t>
      </w:r>
    </w:p>
    <w:p w14:paraId="4098F192" w14:textId="77777777" w:rsidR="0094287D" w:rsidRDefault="00000000">
      <w:pPr>
        <w:pStyle w:val="BodyText"/>
      </w:pPr>
      <w:r>
        <w:t>These higher demands include increased overall productivity, higher mobility, sometimes requiring bothnational and international moves, more time spent in precarious short-term contracts, and the investment of a greater proportion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 (2023, fig. 5). In their words, “the queue of eager post-docs hoping for a long-term appointment is getting longer, as is the average time spent in the ‘queue’” (2023, p. 239). Ribeiro and Giamakis emphasize that this demographic comprises an academic precariat that is essential to the functioning of universities, but consists of a workforce on short-term contracts perpetually “stranded between employment and unemployment” (Ribeiro and Giamakis, 2023, p. 10).</w:t>
      </w:r>
    </w:p>
    <w:p w14:paraId="46783AEA" w14:textId="77777777" w:rsidR="0094287D" w:rsidRDefault="00000000">
      <w:pPr>
        <w:pStyle w:val="BodyText"/>
      </w:pPr>
      <w:r>
        <w:t>Early career scholars with faculty ambitions are thus stuck in a double-bind, forced to funnel their energy into seemingly endless applications for which they receive little to no feedback and which remain invisible on their CVs. As Dennis et al. underscore, early career researchers are “supplicants”: “There is no way for applicants to point out that the job ads are taking too much time out of the scholarly community’s collective time bank” (</w:t>
      </w:r>
      <w:r>
        <w:rPr>
          <w:b/>
          <w:bCs/>
        </w:rPr>
        <w:t>2022: 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online video interviews and teaching demonstrations. These courses often provide valuable training in the hidden curriculum of the academy, but that job applications are so complicated that they require training to navigate suggests more disciplinary attention should be paid to the “market” as a historically contingent set of cultural practices. As Rabinow maintains, “if we want ethical considerations to play a central role in the articulation of truth and power—and I think we do—then bringing such considerations into view is the necessary first step towards recognizing who we are today and setting out on the road to a better place” (1992, p. 71) </w:t>
      </w:r>
      <w:r>
        <w:rPr>
          <w:b/>
          <w:bCs/>
        </w:rPr>
        <w:t>.</w:t>
      </w:r>
    </w:p>
    <w:p w14:paraId="0D790AC9" w14:textId="77777777" w:rsidR="0094287D" w:rsidRDefault="00000000">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w:t>
      </w:r>
      <w:r>
        <w:lastRenderedPageBreak/>
        <w:t xml:space="preserve">demonstrated that </w:t>
      </w:r>
      <w:r>
        <w:rPr>
          <w:i/>
          <w:iCs/>
        </w:rPr>
        <w:t>where</w:t>
      </w:r>
      <w:r>
        <w:t xml:space="preserve"> you get your PhD has an enormous impact on if and where you get a tenure-track position (Kawa et al., 2019; Mackie and Rockwell, 2023), but how about </w:t>
      </w:r>
      <w:r>
        <w:rPr>
          <w:i/>
          <w:iCs/>
        </w:rPr>
        <w:t>what</w:t>
      </w:r>
      <w:r>
        <w:t xml:space="preserve"> 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14:paraId="779F8A72" w14:textId="77777777" w:rsidR="0094287D" w:rsidRDefault="00000000">
      <w:pPr>
        <w:pStyle w:val="BodyText"/>
      </w:pPr>
      <w:r>
        <w:t>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p w14:paraId="3E8F37EB" w14:textId="77777777" w:rsidR="0094287D" w:rsidRDefault="00000000">
      <w:pPr>
        <w:pStyle w:val="Heading1"/>
      </w:pPr>
      <w:bookmarkStart w:id="2" w:name="background"/>
      <w:bookmarkEnd w:id="1"/>
      <w:r>
        <w:t>Background</w:t>
      </w:r>
    </w:p>
    <w:p w14:paraId="1760F9A1" w14:textId="77777777" w:rsidR="0094287D" w:rsidRDefault="00000000">
      <w:pPr>
        <w:pStyle w:val="FirstParagraph"/>
      </w:pPr>
      <w:r>
        <w:t>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of their program and the discipline. Finding the right candidate for the position—or the right position for the candidate—is akin to finding a needle in a haystack.</w:t>
      </w:r>
    </w:p>
    <w:p w14:paraId="7E55655C" w14:textId="77777777" w:rsidR="0094287D" w:rsidRDefault="00000000">
      <w:pPr>
        <w:pStyle w:val="BodyText"/>
      </w:pPr>
      <w:r>
        <w:t xml:space="preserve">There is also a perception among many scholars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positions(Bessner and Brenes, 2021; Brami et al., 2023; Kawa et al., 2019; Kelsky and Three Rivers Press, 2015; Mackie and Rockwell, 2023). This market saturation has arisen in tandem with increasingly complex application requirements. Many job ads now solicit specific documents in </w:t>
      </w:r>
      <w:r>
        <w:rPr>
          <w:i/>
          <w:iCs/>
        </w:rPr>
        <w:t>addition</w:t>
      </w:r>
      <w:r>
        <w:t xml:space="preserve"> to the cover letter and CV, such as teaching, research, and diversity statements. These additional documents must be tailored for each application, making the process of applying for jobs a full-time job of its own.</w:t>
      </w:r>
    </w:p>
    <w:p w14:paraId="2D1E6C64" w14:textId="77777777" w:rsidR="0094287D" w:rsidRDefault="00000000">
      <w:pPr>
        <w:pStyle w:val="BodyText"/>
      </w:pPr>
      <w:r>
        <w:t xml:space="preserve">In anthropology in the US the number of doctoral anthropology graduates has increased by about 70% over the past 30 years, but the number of new faculty positions has not increased proportionally (Speakman et al., 2018). New faculty positions have dwindled, in part due to the removal of the of the Age Discrimination in Employment Act (ADEA) exemption in 1994 which prohibited mandatory retirement ages in higher education (Earle and DelPo Kulow, 2014). When combined with the institution of tenure in American academia, the ADEA exemption allowed faculty to stay in their posts for as long as they liked. The median age for faculty in the U.S. now ranks among the highest for all professions (Kaskie, 2016). In tandem with the gradual de-investment in American higher education since 1980s (Mirowski, 2011) and the aftershocks of the 2008 recession, the ADEA exemption has cultivated an environment where new lines are few and far between. Among </w:t>
      </w:r>
      <w:r>
        <w:lastRenderedPageBreak/>
        <w:t>biological anthropologists, Passalacqua (2018) found a ratio of 0.81 PhDs to job academic advertisements per year, concluding that academic positions in biological anthropology are barely at sustainable levels. This echoes findings from other fields. In biomedical sciences, for example, there is one tenure-track position in the US for approximately every 6.3 PhD graduates [Ghaffarzadegan et al. (2015)]. In engineering, Larson et al., have calculated that providing jobs for even 50% of PhD graduates would require the field to expand at an “improbable” rate of 14% per year (2014, p. 747). As they emphasize, “… the system in many places is saturated, far beyond capacity to absorb new PhDs in academia at the rates they are being produced” (Larson et al., 2014, p. 749).</w:t>
      </w:r>
    </w:p>
    <w:p w14:paraId="0330F673" w14:textId="77777777" w:rsidR="0094287D" w:rsidRDefault="00000000">
      <w:pPr>
        <w:pStyle w:val="BodyText"/>
      </w:pPr>
      <w:r>
        <w:t>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 (Trevithick, 2010). Data from the American Association of University Professors’ 2021–22 faculty survey indicate that more than 60% of faculty positions in US universities were held by non-tenure-track full time or part time contingent faculty members (Colby, 2022).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 (Platzer and Allison, 2018).</w:t>
      </w:r>
    </w:p>
    <w:p w14:paraId="086B3D26" w14:textId="77777777" w:rsidR="0094287D" w:rsidRDefault="00000000">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 (Speakman et al., 2018). Top-ranking programs are placing fewer than one in three graduates in tenure-track jobs (Mackie and Rockwell, 2023). Similarly, a network analysis of 1,918 faculty holding tenured or tenure-track positions at PhD-granting anthropology programs in the US in 2015 (including 506 archaeologists) found that the just fifteen graduate programs produced 52.8 percent of tenured and tenure-track positions (Kawa et al., 2019). This network analysis showed that programs with large endowments, with faculty who hold prestigious awards and are widely cited by other scholars, produce the majority of tenured and tenure-track faculty. Hiring bias predicated on the prestige of specific institutions and programs is not unique to anthropology. </w:t>
      </w:r>
      <w:r w:rsidRPr="00AA0A2F">
        <w:t>Targeted studies of the disciplines of sociology, communication, and operations research, and industrial systems engineering show similar dynamics (Barnett et al., 2010; Castillo et al., n.d.; Feeley and Tutzauer, 2021; Nevin, 2019).</w:t>
      </w:r>
      <w:r>
        <w:t xml:space="preserve"> Broader analyses comparing computer science, business, and history likewise reveal [parallel] patterns among disparate disciplines across the humanities, social sciences, and STEM fields, in which “across disciplines, prestige hierarchies make the most accurate predictions of faculty placement” (Clauset et al., 2015, p. 4). The most recent comprehensive meta-analysis of faculty placement dynamics in the United States, which examined employment and doctoral education of all tenure-track </w:t>
      </w:r>
      <w:r>
        <w:lastRenderedPageBreak/>
        <w:t>faculty at PhD-granting universities, underscored the outsized impact of institutional prestige: 80% of faculty trained in the US came from just 20.4% of institutions (Wapman et al., 2022).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14:paraId="15158418" w14:textId="77777777" w:rsidR="0094287D" w:rsidRDefault="00000000">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within their discipline. In a comparison of job ads from 1999–2000 and 2019–2020 published in </w:t>
      </w:r>
      <w:r>
        <w:rPr>
          <w:i/>
          <w:iCs/>
        </w:rPr>
        <w:t>Anthropology News</w:t>
      </w:r>
      <w:r>
        <w:t xml:space="preserve"> Gershon and Rachok (2021) noticed an increase in the number of materials requested from applicants. For example, twice as many 2019–2020 job ads requested writing samples compared to 1999–2000, and nearly four times as many requested statements of teaching philosophy. In their review of the ‘worst job ads of 2021’ Dennis et al. (2022) 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14:paraId="75795A68" w14:textId="77777777" w:rsidR="0094287D" w:rsidRDefault="00000000">
      <w:pPr>
        <w:pStyle w:val="BodyText"/>
      </w:pPr>
      <w:r>
        <w:t>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in 2016–2022 at several University of California campuses that used diversity statements as the first cut for selecting candidates for tenure-track faculty positions (Soucek, 2021).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 (Guiden, 2024).</w:t>
      </w:r>
    </w:p>
    <w:p w14:paraId="4B8E4699" w14:textId="77777777" w:rsidR="0094287D" w:rsidRDefault="00000000">
      <w:pPr>
        <w:pStyle w:val="Heading1"/>
      </w:pPr>
      <w:bookmarkStart w:id="3" w:name="methods"/>
      <w:bookmarkEnd w:id="2"/>
      <w:r>
        <w:t>Methods</w:t>
      </w:r>
    </w:p>
    <w:p w14:paraId="2C373293" w14:textId="3257D194" w:rsidR="0094287D" w:rsidRDefault="00000000">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w:t>
      </w:r>
      <w:r>
        <w:lastRenderedPageBreak/>
        <w:t xml:space="preserve">pseudonymous. Typically, contributors copy and paste all or some of the text of job ads </w:t>
      </w:r>
      <w:r w:rsidR="00AA0A2F">
        <w:t>into the wiki</w:t>
      </w:r>
      <w:r>
        <w:t xml:space="preserve">, </w:t>
      </w:r>
      <w:r w:rsidR="00AA0A2F">
        <w:t xml:space="preserve">drawing upon sources </w:t>
      </w:r>
      <w:r>
        <w:t xml:space="preserve">such as the </w:t>
      </w:r>
      <w:r>
        <w:rPr>
          <w:i/>
          <w:iCs/>
        </w:rPr>
        <w:t>Chronicle of Higher Education</w:t>
      </w:r>
      <w:r>
        <w:t xml:space="preserve">, </w:t>
      </w:r>
      <w:r>
        <w:rPr>
          <w:i/>
          <w:iCs/>
        </w:rPr>
        <w:t>Higher Ed Jobs</w:t>
      </w:r>
      <w:r>
        <w:t>,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 (Musial and Holmes, 2018; e.g. Passalacqua, 2018) and a widely recommended resource (e.g. Lightfoot et al., 2021).</w:t>
      </w:r>
    </w:p>
    <w:p w14:paraId="5C9C06D2" w14:textId="77777777" w:rsidR="0094287D" w:rsidRDefault="00000000">
      <w:pPr>
        <w:pStyle w:val="BodyText"/>
      </w:pPr>
      <w:r>
        <w:t>For each tenure-track job advertised on the Archaeology Academic Jobs Wiki during 2013-2023, we read the text and recorded the name of the hiring institution, the title of the position, and exact words and phrases from the ad about the topical, geographic, and methods foci on the position into a Google form. The topical focus is what we understood as the primary intellectual focus of the position—examples of topical foci included environmental archaeology, public archaeology, and North American archaeology. The geographic focus is the region of the world that the ideal candidate has scholarly expertise on, for example, Southwest US, Mediterranean, or Asia and India. The methods focus is the data-generating sub-field of archaeology that is mentioned in the ad. Examples of methods used in this study include archaeobotany, lithic analysis, or zooarchaeology. We also recorded the type and number of documents requested in each ad (e.g. cover letter, CV, statements on research, teaching, diversity , syllabi, course descriptions, writing samples, transcripts) and how many names/letters of recommenders were requested in the ad, if any.</w:t>
      </w:r>
    </w:p>
    <w:p w14:paraId="68BE82D3" w14:textId="77777777" w:rsidR="0094287D" w:rsidRDefault="00000000">
      <w:pPr>
        <w:pStyle w:val="BodyText"/>
      </w:pPr>
      <w:r>
        <w:t xml:space="preserve">After completing primary data collection, we studied the topical, geographic, and methods text of each ad and collaboratively and manually reduced the variation in the raw data into 10-15 categories appearing in 20 (for topics and geography) or 10 (for methods) or more job ads to simplify analysis and visualisation. This means that some topics, such as gender (mentioned in 6 ads) do not appear in our results because of their rarity in the job ads. Full details of the category reduction, showing the mapping between phrases in the job ads and our categories, are in our Supplementary Materials. Our final, reduced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t>
      </w:r>
      <w:r>
        <w:lastRenderedPageBreak/>
        <w:t>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we recorded digital archaeology we recorded as both a method (when a job ad had a clearly distinct topical focus, such as historic archaeology) and a topic (when there were no other topics mentioned in the job ad). While these categorical overlaps can make the data challenging to interpret, in our view this approach reflects the complex realities of how search committees express their needs in searching for new faculty. Acknowledgement of overlaps also produces new insights into hiring dynamics through revealing intersections between different foci.</w:t>
      </w:r>
    </w:p>
    <w:p w14:paraId="6FADBF00" w14:textId="77777777" w:rsidR="0094287D" w:rsidRDefault="00000000">
      <w:pPr>
        <w:pStyle w:val="BodyText"/>
      </w:pPr>
      <w:r>
        <w:t>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p w14:paraId="778567D8" w14:textId="77777777" w:rsidR="0094287D" w:rsidRDefault="00000000">
      <w:pPr>
        <w:pStyle w:val="Heading1"/>
      </w:pPr>
      <w:bookmarkStart w:id="4" w:name="results"/>
      <w:bookmarkEnd w:id="3"/>
      <w:r>
        <w:t>Results</w:t>
      </w:r>
    </w:p>
    <w:p w14:paraId="53EDCB9E" w14:textId="77777777" w:rsidR="0094287D" w:rsidRDefault="00000000">
      <w:pPr>
        <w:pStyle w:val="FirstParagraph"/>
      </w:pPr>
      <w:r>
        <w:t xml:space="preserve">We collected data from 547 ads for tenure-track jobs in archaeology posted during 2013-2023. We focus our analysis here on the 431 ads for positions at US universities . </w:t>
      </w:r>
      <w:hyperlink w:anchor="fig-show-basic-plots">
        <w:r>
          <w:rPr>
            <w:rStyle w:val="Hyperlink"/>
          </w:rPr>
          <w:t>Figure 1</w:t>
        </w:r>
      </w:hyperlink>
      <w:r>
        <w:t xml:space="preserve"> 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 Only academic year 2013-2014 had more non-tenure-track positions than tenure-track positions , which was followed by an upward trend peaking at 2018-2019 and then declining again into the present.</w:t>
      </w:r>
    </w:p>
    <w:p w14:paraId="64A959DE" w14:textId="77777777" w:rsidR="0094287D" w:rsidRDefault="00000000">
      <w:pPr>
        <w:pStyle w:val="Heading2"/>
      </w:pPr>
      <w:bookmarkStart w:id="5" w:name="X7da0eb04c9114824d0c25b05c9c5c8ea958ead8"/>
      <w:r>
        <w:lastRenderedPageBreak/>
        <w:t>Characteristics of the hiring institutions</w:t>
      </w:r>
    </w:p>
    <w:tbl>
      <w:tblPr>
        <w:tblW w:w="5000" w:type="pct"/>
        <w:tblLayout w:type="fixed"/>
        <w:tblLook w:val="0000" w:firstRow="0" w:lastRow="0" w:firstColumn="0" w:lastColumn="0" w:noHBand="0" w:noVBand="0"/>
      </w:tblPr>
      <w:tblGrid>
        <w:gridCol w:w="9576"/>
      </w:tblGrid>
      <w:tr w:rsidR="0094287D" w14:paraId="2CBC57EB" w14:textId="77777777">
        <w:tc>
          <w:tcPr>
            <w:tcW w:w="7920" w:type="dxa"/>
          </w:tcPr>
          <w:p w14:paraId="4FE981F3" w14:textId="77777777" w:rsidR="0094287D" w:rsidRDefault="00000000">
            <w:pPr>
              <w:pStyle w:val="Compact"/>
              <w:jc w:val="center"/>
            </w:pPr>
            <w:bookmarkStart w:id="6" w:name="Xb6ce60108169ab29fd4ed84e6becc1ec8f0f199"/>
            <w:r>
              <w:rPr>
                <w:noProof/>
              </w:rPr>
              <w:drawing>
                <wp:inline distT="0" distB="0" distL="0" distR="0" wp14:anchorId="7C275879" wp14:editId="0C7A1392">
                  <wp:extent cx="5943600" cy="34671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ures/fig-map-and-carnegie-classification.png"/>
                          <pic:cNvPicPr>
                            <a:picLocks noChangeAspect="1" noChangeArrowheads="1"/>
                          </pic:cNvPicPr>
                        </pic:nvPicPr>
                        <pic:blipFill>
                          <a:blip r:embed="rId7"/>
                          <a:stretch>
                            <a:fillRect/>
                          </a:stretch>
                        </pic:blipFill>
                        <pic:spPr bwMode="auto">
                          <a:xfrm>
                            <a:off x="0" y="0"/>
                            <a:ext cx="5943600" cy="3467100"/>
                          </a:xfrm>
                          <a:prstGeom prst="rect">
                            <a:avLst/>
                          </a:prstGeom>
                          <a:noFill/>
                          <a:ln w="9525">
                            <a:noFill/>
                            <a:headEnd/>
                            <a:tailEnd/>
                          </a:ln>
                        </pic:spPr>
                      </pic:pic>
                    </a:graphicData>
                  </a:graphic>
                </wp:inline>
              </w:drawing>
            </w:r>
          </w:p>
          <w:p w14:paraId="4C2B1B1F" w14:textId="77777777" w:rsidR="0094287D" w:rsidRDefault="00000000">
            <w:pPr>
              <w:pStyle w:val="ImageCaption"/>
              <w:spacing w:before="200"/>
            </w:pPr>
            <w:r>
              <w:t>Figure 2: A: Frequency of hiring institution by Carnegie classification. B: Inset shows map of the United States showing the count of tenure-track job ads posted by all insititutions in each state during 2013 – 2023</w:t>
            </w:r>
          </w:p>
        </w:tc>
        <w:bookmarkEnd w:id="6"/>
      </w:tr>
    </w:tbl>
    <w:p w14:paraId="50859C2D" w14:textId="77777777" w:rsidR="0094287D" w:rsidRDefault="00000000">
      <w:pPr>
        <w:pStyle w:val="BodyText"/>
      </w:pPr>
      <w:r>
        <w:t xml:space="preserve">Panel A of </w:t>
      </w:r>
      <w:hyperlink w:anchor="Xb6ce60108169ab29fd4ed84e6becc1ec8f0f199">
        <w:r>
          <w:rPr>
            <w:rStyle w:val="Hyperlink"/>
          </w:rPr>
          <w:t>Figure 2</w:t>
        </w:r>
      </w:hyperlink>
      <w:r>
        <w:t xml:space="preserve"> 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14:paraId="30C540F7" w14:textId="77777777" w:rsidR="0094287D" w:rsidRDefault="00000000">
      <w:pPr>
        <w:pStyle w:val="BodyText"/>
      </w:pPr>
      <w:r>
        <w:t xml:space="preserve">Panel B of </w:t>
      </w:r>
      <w:hyperlink w:anchor="Xb6ce60108169ab29fd4ed84e6becc1ec8f0f199">
        <w:r>
          <w:rPr>
            <w:rStyle w:val="Hyperlink"/>
          </w:rPr>
          <w:t>Figure 2</w:t>
        </w:r>
      </w:hyperlink>
      <w:r>
        <w:t xml:space="preserve"> 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suggesting that rates of hiring are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p w14:paraId="1A5A1CAC" w14:textId="77777777" w:rsidR="0094287D" w:rsidRDefault="00000000">
      <w:pPr>
        <w:pStyle w:val="Heading2"/>
      </w:pPr>
      <w:bookmarkStart w:id="7" w:name="geographic-trends-over-time-in-job-ads"/>
      <w:bookmarkEnd w:id="5"/>
      <w:r>
        <w:lastRenderedPageBreak/>
        <w:t>Geographic trends over time in job ads</w:t>
      </w:r>
    </w:p>
    <w:tbl>
      <w:tblPr>
        <w:tblW w:w="5000" w:type="pct"/>
        <w:tblLayout w:type="fixed"/>
        <w:tblLook w:val="0000" w:firstRow="0" w:lastRow="0" w:firstColumn="0" w:lastColumn="0" w:noHBand="0" w:noVBand="0"/>
      </w:tblPr>
      <w:tblGrid>
        <w:gridCol w:w="9576"/>
      </w:tblGrid>
      <w:tr w:rsidR="0094287D" w14:paraId="50CC1D05" w14:textId="77777777">
        <w:tc>
          <w:tcPr>
            <w:tcW w:w="7920" w:type="dxa"/>
          </w:tcPr>
          <w:p w14:paraId="0E0ABD44" w14:textId="77777777" w:rsidR="0094287D" w:rsidRDefault="00000000">
            <w:pPr>
              <w:pStyle w:val="Compact"/>
              <w:jc w:val="center"/>
            </w:pPr>
            <w:bookmarkStart w:id="8" w:name="fig-show-geo-trends"/>
            <w:r>
              <w:rPr>
                <w:noProof/>
              </w:rPr>
              <w:drawing>
                <wp:inline distT="0" distB="0" distL="0" distR="0" wp14:anchorId="424D7406" wp14:editId="3068D58F">
                  <wp:extent cx="5943600" cy="7429499"/>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fig-geo-focus-by-year.png"/>
                          <pic:cNvPicPr>
                            <a:picLocks noChangeAspect="1" noChangeArrowheads="1"/>
                          </pic:cNvPicPr>
                        </pic:nvPicPr>
                        <pic:blipFill>
                          <a:blip r:embed="rId8"/>
                          <a:stretch>
                            <a:fillRect/>
                          </a:stretch>
                        </pic:blipFill>
                        <pic:spPr bwMode="auto">
                          <a:xfrm>
                            <a:off x="0" y="0"/>
                            <a:ext cx="5943600" cy="7429499"/>
                          </a:xfrm>
                          <a:prstGeom prst="rect">
                            <a:avLst/>
                          </a:prstGeom>
                          <a:noFill/>
                          <a:ln w="9525">
                            <a:noFill/>
                            <a:headEnd/>
                            <a:tailEnd/>
                          </a:ln>
                        </pic:spPr>
                      </pic:pic>
                    </a:graphicData>
                  </a:graphic>
                </wp:inline>
              </w:drawing>
            </w:r>
          </w:p>
          <w:p w14:paraId="4D0B97D1" w14:textId="77777777" w:rsidR="0094287D" w:rsidRDefault="00000000">
            <w:pPr>
              <w:pStyle w:val="ImageCaption"/>
              <w:spacing w:before="200"/>
            </w:pPr>
            <w:r>
              <w:t xml:space="preserve">Figure 3: A: Frequency of locations mentioned in the text of the job ads. B: Popularity of locations in job ads over time. Individual data points are show, overlain by a locally weighted </w:t>
            </w:r>
            <w:r>
              <w:lastRenderedPageBreak/>
              <w:t>regression line for each location to indicate temporal trends.</w:t>
            </w:r>
          </w:p>
        </w:tc>
        <w:bookmarkEnd w:id="8"/>
      </w:tr>
    </w:tbl>
    <w:p w14:paraId="41821877" w14:textId="77777777" w:rsidR="0094287D" w:rsidRDefault="00000000">
      <w:pPr>
        <w:pStyle w:val="BodyText"/>
      </w:pPr>
      <w:r>
        <w:lastRenderedPageBreak/>
        <w:t xml:space="preserve">We recorded all geographic regions mentioned in the text where the successful applicant should have expertise and be research active. Our analysis focuses on those locations mentioned in 20 or more ads. Overall, American locations dominate. Panel A of </w:t>
      </w:r>
      <w:hyperlink w:anchor="fig-show-geo-trends">
        <w:r>
          <w:rPr>
            <w:rStyle w:val="Hyperlink"/>
          </w:rPr>
          <w:t>Figure 3</w:t>
        </w:r>
      </w:hyperlink>
      <w:r>
        <w:t xml:space="preserve"> 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(Griffin-Pierce, 2000) . The Mediterranean is prominent because it is the location that is often mentioned in job ads focused on classical archaeology (i.e. archaeology of Bronze and Iron Age Italy and Greece).</w:t>
      </w:r>
    </w:p>
    <w:p w14:paraId="36F16A4B" w14:textId="77777777" w:rsidR="0094287D" w:rsidRDefault="00000000">
      <w:pPr>
        <w:pStyle w:val="BodyText"/>
      </w:pPr>
      <w:r>
        <w:t>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correlated in an opposite trend.</w:t>
      </w:r>
    </w:p>
    <w:p w14:paraId="668789A6" w14:textId="77777777" w:rsidR="0094287D" w:rsidRDefault="00000000">
      <w:pPr>
        <w:pStyle w:val="Heading2"/>
      </w:pPr>
      <w:bookmarkStart w:id="9" w:name="method-trends-over-time"/>
      <w:bookmarkEnd w:id="7"/>
      <w:r>
        <w:lastRenderedPageBreak/>
        <w:t>Method trends over time</w:t>
      </w:r>
    </w:p>
    <w:tbl>
      <w:tblPr>
        <w:tblW w:w="5000" w:type="pct"/>
        <w:tblLayout w:type="fixed"/>
        <w:tblLook w:val="0000" w:firstRow="0" w:lastRow="0" w:firstColumn="0" w:lastColumn="0" w:noHBand="0" w:noVBand="0"/>
      </w:tblPr>
      <w:tblGrid>
        <w:gridCol w:w="9576"/>
      </w:tblGrid>
      <w:tr w:rsidR="0094287D" w14:paraId="5425DF55" w14:textId="77777777">
        <w:tc>
          <w:tcPr>
            <w:tcW w:w="7920" w:type="dxa"/>
          </w:tcPr>
          <w:p w14:paraId="78B88D4D" w14:textId="77777777" w:rsidR="0094287D" w:rsidRDefault="00000000">
            <w:pPr>
              <w:pStyle w:val="Compact"/>
              <w:jc w:val="center"/>
            </w:pPr>
            <w:bookmarkStart w:id="10" w:name="fig-show-metho-trends"/>
            <w:r>
              <w:rPr>
                <w:noProof/>
              </w:rPr>
              <w:drawing>
                <wp:inline distT="0" distB="0" distL="0" distR="0" wp14:anchorId="40D59E73" wp14:editId="5E2C70E6">
                  <wp:extent cx="5943600" cy="742949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fig-method-focus-by-year.png"/>
                          <pic:cNvPicPr>
                            <a:picLocks noChangeAspect="1" noChangeArrowheads="1"/>
                          </pic:cNvPicPr>
                        </pic:nvPicPr>
                        <pic:blipFill>
                          <a:blip r:embed="rId9"/>
                          <a:stretch>
                            <a:fillRect/>
                          </a:stretch>
                        </pic:blipFill>
                        <pic:spPr bwMode="auto">
                          <a:xfrm>
                            <a:off x="0" y="0"/>
                            <a:ext cx="5943600" cy="7429499"/>
                          </a:xfrm>
                          <a:prstGeom prst="rect">
                            <a:avLst/>
                          </a:prstGeom>
                          <a:noFill/>
                          <a:ln w="9525">
                            <a:noFill/>
                            <a:headEnd/>
                            <a:tailEnd/>
                          </a:ln>
                        </pic:spPr>
                      </pic:pic>
                    </a:graphicData>
                  </a:graphic>
                </wp:inline>
              </w:drawing>
            </w:r>
          </w:p>
          <w:p w14:paraId="5B11C7AB" w14:textId="77777777" w:rsidR="0094287D" w:rsidRDefault="00000000">
            <w:pPr>
              <w:pStyle w:val="ImageCaption"/>
              <w:spacing w:before="200"/>
            </w:pPr>
            <w:r>
              <w:t xml:space="preserve">Figure 4: A: Frequency of methods mentioned in the text of the job ads. B: Popularity of methods in job ads over time. Individual data points are show, overlain by a locally weighted </w:t>
            </w:r>
            <w:r>
              <w:lastRenderedPageBreak/>
              <w:t>regression line for each location to indicate temporal trends.</w:t>
            </w:r>
          </w:p>
        </w:tc>
        <w:bookmarkEnd w:id="10"/>
      </w:tr>
    </w:tbl>
    <w:p w14:paraId="4BF5B584" w14:textId="77777777" w:rsidR="0094287D" w:rsidRDefault="00000000">
      <w:pPr>
        <w:pStyle w:val="BodyText"/>
      </w:pPr>
      <w:r>
        <w:lastRenderedPageBreak/>
        <w:t xml:space="preserve">Landscape archaeology, encompassing GIS and remote sensing, has remained prominent compared to other methods </w:t>
      </w:r>
      <w:hyperlink w:anchor="fig-show-metho-trends">
        <w:r>
          <w:rPr>
            <w:rStyle w:val="Hyperlink"/>
          </w:rPr>
          <w:t>Figure 4</w:t>
        </w:r>
      </w:hyperlink>
      <w:r>
        <w:t>. The popularity of this suite of methods may reflect its importance as a skill in demand by employers in the Cultural Research Management sector. Morgan (2023) 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the more popular methods are those that are relevant to multiple elements of the archaeological record (e.g. Archaeobotany encompasses macroscopic and microscopic plant remains; Bioarchaeology may include skeletal analysis, isotopes, proteins, etc.).</w:t>
      </w:r>
    </w:p>
    <w:p w14:paraId="2C41698A" w14:textId="77777777" w:rsidR="0094287D" w:rsidRDefault="00000000">
      <w:pPr>
        <w:pStyle w:val="BodyText"/>
      </w:pPr>
      <w:r>
        <w:t>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p w14:paraId="647A8BC7" w14:textId="77777777" w:rsidR="0094287D" w:rsidRDefault="00000000">
      <w:pPr>
        <w:pStyle w:val="Heading2"/>
      </w:pPr>
      <w:bookmarkStart w:id="11" w:name="topic-trends-over-time"/>
      <w:bookmarkEnd w:id="9"/>
      <w:r>
        <w:lastRenderedPageBreak/>
        <w:t>Topic trends over time</w:t>
      </w:r>
    </w:p>
    <w:tbl>
      <w:tblPr>
        <w:tblW w:w="5000" w:type="pct"/>
        <w:tblLayout w:type="fixed"/>
        <w:tblLook w:val="0000" w:firstRow="0" w:lastRow="0" w:firstColumn="0" w:lastColumn="0" w:noHBand="0" w:noVBand="0"/>
      </w:tblPr>
      <w:tblGrid>
        <w:gridCol w:w="9576"/>
      </w:tblGrid>
      <w:tr w:rsidR="0094287D" w14:paraId="2BE15AA4" w14:textId="77777777">
        <w:tc>
          <w:tcPr>
            <w:tcW w:w="7920" w:type="dxa"/>
          </w:tcPr>
          <w:p w14:paraId="4C51376B" w14:textId="77777777" w:rsidR="0094287D" w:rsidRDefault="00000000">
            <w:pPr>
              <w:pStyle w:val="Compact"/>
              <w:jc w:val="center"/>
            </w:pPr>
            <w:bookmarkStart w:id="12" w:name="fig-show-topi-trends"/>
            <w:r>
              <w:rPr>
                <w:noProof/>
              </w:rPr>
              <w:drawing>
                <wp:inline distT="0" distB="0" distL="0" distR="0" wp14:anchorId="69F42090" wp14:editId="55921B90">
                  <wp:extent cx="5943600" cy="7429499"/>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figures/fig-topic-focus-by-year.png"/>
                          <pic:cNvPicPr>
                            <a:picLocks noChangeAspect="1" noChangeArrowheads="1"/>
                          </pic:cNvPicPr>
                        </pic:nvPicPr>
                        <pic:blipFill>
                          <a:blip r:embed="rId10"/>
                          <a:stretch>
                            <a:fillRect/>
                          </a:stretch>
                        </pic:blipFill>
                        <pic:spPr bwMode="auto">
                          <a:xfrm>
                            <a:off x="0" y="0"/>
                            <a:ext cx="5943600" cy="7429499"/>
                          </a:xfrm>
                          <a:prstGeom prst="rect">
                            <a:avLst/>
                          </a:prstGeom>
                          <a:noFill/>
                          <a:ln w="9525">
                            <a:noFill/>
                            <a:headEnd/>
                            <a:tailEnd/>
                          </a:ln>
                        </pic:spPr>
                      </pic:pic>
                    </a:graphicData>
                  </a:graphic>
                </wp:inline>
              </w:drawing>
            </w:r>
          </w:p>
          <w:p w14:paraId="62C7F3D0" w14:textId="77777777" w:rsidR="0094287D" w:rsidRDefault="00000000">
            <w:pPr>
              <w:pStyle w:val="ImageCaption"/>
              <w:spacing w:before="200"/>
            </w:pPr>
            <w:r>
              <w:t xml:space="preserve">Figure 5: A: Frequency of topics mentioned in the text of the job ads. B: Popularity of topics in job ads over time for topics that appear in 20 or more ads. Individual data points are shown, </w:t>
            </w:r>
            <w:r>
              <w:lastRenderedPageBreak/>
              <w:t>overlain by a locally weighted regression line for each location to indicate temporal trends.</w:t>
            </w:r>
          </w:p>
        </w:tc>
        <w:bookmarkEnd w:id="12"/>
      </w:tr>
    </w:tbl>
    <w:p w14:paraId="7F5F0484" w14:textId="77777777" w:rsidR="0094287D" w:rsidRDefault="00000000">
      <w:pPr>
        <w:pStyle w:val="BodyText"/>
      </w:pPr>
      <w:r>
        <w:lastRenderedPageBreak/>
        <w:t xml:space="preserve">The most frequently mentioned topic in the job ads is Environmental archaeology </w:t>
      </w:r>
      <w:hyperlink w:anchor="fig-show-topi-trends">
        <w:r>
          <w:rPr>
            <w:rStyle w:val="Hyperlink"/>
          </w:rPr>
          <w:t>Figure 5</w:t>
        </w:r>
      </w:hyperlink>
      <w:r>
        <w:t>. This category encompasses such phrases as human-environmental dynamics, interaction between humans and their environments, environmental change, climate change, historical ecology, ecological knowledge,human ecology, and ecological systems. Public archaeology is the second most frequent topic overall, which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14:paraId="7B3D2BF8" w14:textId="77777777" w:rsidR="0094287D" w:rsidRDefault="00000000">
      <w:pPr>
        <w:pStyle w:val="BodyText"/>
      </w:pPr>
      <w:r>
        <w:t>In the years 2019-2020 and 2020-2021 there are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W w:w="5000" w:type="pct"/>
        <w:tblLayout w:type="fixed"/>
        <w:tblLook w:val="0000" w:firstRow="0" w:lastRow="0" w:firstColumn="0" w:lastColumn="0" w:noHBand="0" w:noVBand="0"/>
      </w:tblPr>
      <w:tblGrid>
        <w:gridCol w:w="9576"/>
      </w:tblGrid>
      <w:tr w:rsidR="0094287D" w14:paraId="303C466C" w14:textId="77777777">
        <w:tc>
          <w:tcPr>
            <w:tcW w:w="7920" w:type="dxa"/>
          </w:tcPr>
          <w:p w14:paraId="74CCB836" w14:textId="77777777" w:rsidR="0094287D" w:rsidRDefault="00000000">
            <w:pPr>
              <w:pStyle w:val="Compact"/>
              <w:jc w:val="center"/>
            </w:pPr>
            <w:bookmarkStart w:id="13" w:name="fig-show-cooc"/>
            <w:r>
              <w:rPr>
                <w:noProof/>
              </w:rPr>
              <w:lastRenderedPageBreak/>
              <w:drawing>
                <wp:inline distT="0" distB="0" distL="0" distR="0" wp14:anchorId="613848B0" wp14:editId="47497EEC">
                  <wp:extent cx="5943600" cy="59436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figures/fig-topic-cooc-heatmap.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6CC3D7D7" w14:textId="77777777" w:rsidR="0094287D" w:rsidRDefault="00000000">
            <w:pPr>
              <w:pStyle w:val="ImageCaption"/>
              <w:spacing w:before="200"/>
            </w:pPr>
            <w:r>
              <w:t>Figure 6: Heatmap of topic co-occurrance in job ads.</w:t>
            </w:r>
          </w:p>
        </w:tc>
        <w:bookmarkEnd w:id="13"/>
      </w:tr>
    </w:tbl>
    <w:p w14:paraId="136665B1" w14:textId="77777777" w:rsidR="0094287D" w:rsidRDefault="00000000">
      <w:pPr>
        <w:pStyle w:val="BodyText"/>
      </w:pPr>
      <w:r>
        <w:t>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 N = 836) = 160.42, p = 9</w:t>
      </w:r>
      <w:r>
        <w:rPr>
          <w:i/>
          <w:iCs/>
        </w:rPr>
        <w:t>x</w:t>
      </w:r>
      <w:r>
        <w:t>10</w:t>
      </w:r>
      <w:r>
        <w:rPr>
          <w:vertAlign w:val="superscript"/>
        </w:rPr>
        <w:t>-37</w:t>
      </w:r>
      <w:r>
        <w:t xml:space="preserve">). </w:t>
      </w:r>
      <w:hyperlink w:anchor="fig-show-cooc">
        <w:r>
          <w:rPr>
            <w:rStyle w:val="Hyperlink"/>
          </w:rPr>
          <w:t>Figure 6</w:t>
        </w:r>
      </w:hyperlink>
      <w:r>
        <w:t xml:space="preserve"> 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co-</w:t>
      </w:r>
      <w:r>
        <w:lastRenderedPageBreak/>
        <w:t>occur. Other topics are relatively isolated. For example, Pleistocene archaeology and digital archaeology rarely occur with other topics.</w:t>
      </w:r>
    </w:p>
    <w:p w14:paraId="5A580394" w14:textId="77777777" w:rsidR="0094287D" w:rsidRDefault="00000000">
      <w:pPr>
        <w:pStyle w:val="Heading2"/>
      </w:pPr>
      <w:bookmarkStart w:id="14" w:name="instructions-to-applicants-over-time"/>
      <w:bookmarkEnd w:id="11"/>
      <w:r>
        <w:t>Instructions to applicants over time</w:t>
      </w:r>
    </w:p>
    <w:tbl>
      <w:tblPr>
        <w:tblW w:w="5000" w:type="pct"/>
        <w:tblLayout w:type="fixed"/>
        <w:tblLook w:val="0000" w:firstRow="0" w:lastRow="0" w:firstColumn="0" w:lastColumn="0" w:noHBand="0" w:noVBand="0"/>
      </w:tblPr>
      <w:tblGrid>
        <w:gridCol w:w="9576"/>
      </w:tblGrid>
      <w:tr w:rsidR="0094287D" w14:paraId="6300FC9A" w14:textId="77777777">
        <w:tc>
          <w:tcPr>
            <w:tcW w:w="7920" w:type="dxa"/>
          </w:tcPr>
          <w:p w14:paraId="7D8E1B28" w14:textId="77777777" w:rsidR="0094287D" w:rsidRDefault="00000000">
            <w:pPr>
              <w:pStyle w:val="Compact"/>
              <w:jc w:val="center"/>
            </w:pPr>
            <w:bookmarkStart w:id="15" w:name="fig-requirements-over-time"/>
            <w:r>
              <w:rPr>
                <w:noProof/>
              </w:rPr>
              <w:drawing>
                <wp:inline distT="0" distB="0" distL="0" distR="0" wp14:anchorId="69970EA8" wp14:editId="631A2496">
                  <wp:extent cx="5943600" cy="29718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figures/fig-requirements-per-year.png"/>
                          <pic:cNvPicPr>
                            <a:picLocks noChangeAspect="1" noChangeArrowheads="1"/>
                          </pic:cNvPicPr>
                        </pic:nvPicPr>
                        <pic:blipFill>
                          <a:blip r:embed="rId12"/>
                          <a:stretch>
                            <a:fillRect/>
                          </a:stretch>
                        </pic:blipFill>
                        <pic:spPr bwMode="auto">
                          <a:xfrm>
                            <a:off x="0" y="0"/>
                            <a:ext cx="5943600" cy="2971800"/>
                          </a:xfrm>
                          <a:prstGeom prst="rect">
                            <a:avLst/>
                          </a:prstGeom>
                          <a:noFill/>
                          <a:ln w="9525">
                            <a:noFill/>
                            <a:headEnd/>
                            <a:tailEnd/>
                          </a:ln>
                        </pic:spPr>
                      </pic:pic>
                    </a:graphicData>
                  </a:graphic>
                </wp:inline>
              </w:drawing>
            </w:r>
          </w:p>
          <w:p w14:paraId="4FB4B7EE" w14:textId="77777777" w:rsidR="0094287D" w:rsidRDefault="00000000">
            <w:pPr>
              <w:pStyle w:val="ImageCaption"/>
              <w:spacing w:before="200"/>
            </w:pPr>
            <w:r>
              <w:t>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tc>
        <w:bookmarkEnd w:id="15"/>
      </w:tr>
    </w:tbl>
    <w:p w14:paraId="37E7834D" w14:textId="77777777" w:rsidR="0094287D" w:rsidRDefault="00000000">
      <w:pPr>
        <w:pStyle w:val="BodyText"/>
      </w:pPr>
      <w:r>
        <w:t xml:space="preserve">Over our ten year study period there have been substantial changes in the instructions to applicants in terms of the type and number of documents that are requested by the search committees </w:t>
      </w:r>
      <w:hyperlink w:anchor="fig-requirements-over-time">
        <w:r>
          <w:rPr>
            <w:rStyle w:val="Hyperlink"/>
          </w:rPr>
          <w:t>Figure 7</w:t>
        </w:r>
      </w:hyperlink>
      <w:r>
        <w:t>.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W w:w="5000" w:type="pct"/>
        <w:tblLayout w:type="fixed"/>
        <w:tblLook w:val="0000" w:firstRow="0" w:lastRow="0" w:firstColumn="0" w:lastColumn="0" w:noHBand="0" w:noVBand="0"/>
      </w:tblPr>
      <w:tblGrid>
        <w:gridCol w:w="9576"/>
      </w:tblGrid>
      <w:tr w:rsidR="0094287D" w14:paraId="345E6E47" w14:textId="77777777">
        <w:tc>
          <w:tcPr>
            <w:tcW w:w="7920" w:type="dxa"/>
          </w:tcPr>
          <w:p w14:paraId="47A4F544" w14:textId="77777777" w:rsidR="0094287D" w:rsidRDefault="00000000">
            <w:pPr>
              <w:pStyle w:val="Compact"/>
              <w:jc w:val="center"/>
            </w:pPr>
            <w:bookmarkStart w:id="16" w:name="fig-requirements-by-position"/>
            <w:r>
              <w:rPr>
                <w:noProof/>
              </w:rPr>
              <w:lastRenderedPageBreak/>
              <w:drawing>
                <wp:inline distT="0" distB="0" distL="0" distR="0" wp14:anchorId="7CFA7B5C" wp14:editId="305B75B4">
                  <wp:extent cx="5943600" cy="44577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fig-requirements-by-rank.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1E6218CF" w14:textId="77777777" w:rsidR="0094287D" w:rsidRDefault="00000000">
            <w:pPr>
              <w:pStyle w:val="ImageCaption"/>
              <w:spacing w:before="200"/>
            </w:pPr>
            <w:r>
              <w:t>Figure 8: Variation in application requirements by academic position. Each point represents an individual job ad. The points have been jittered to avoid overlap. The red point is the mean value for each group.</w:t>
            </w:r>
          </w:p>
        </w:tc>
        <w:bookmarkEnd w:id="16"/>
      </w:tr>
    </w:tbl>
    <w:p w14:paraId="25B972A9" w14:textId="77777777" w:rsidR="0094287D" w:rsidRDefault="00000000">
      <w:pPr>
        <w:pStyle w:val="BodyText"/>
      </w:pPr>
      <w:r>
        <w:t xml:space="preserve">Instructions to applicants vary by the rank of the position advertised </w:t>
      </w:r>
      <w:hyperlink w:anchor="fig-requirements-by-position">
        <w:r>
          <w:rPr>
            <w:rStyle w:val="Hyperlink"/>
          </w:rPr>
          <w:t>Figure 8</w:t>
        </w:r>
      </w:hyperlink>
      <w:r>
        <w:t>.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p w14:paraId="56708134" w14:textId="77777777" w:rsidR="0094287D" w:rsidRDefault="00000000">
      <w:pPr>
        <w:pStyle w:val="Heading1"/>
      </w:pPr>
      <w:bookmarkStart w:id="17" w:name="discussion"/>
      <w:bookmarkEnd w:id="4"/>
      <w:bookmarkEnd w:id="14"/>
      <w:r>
        <w:t>Discussion</w:t>
      </w:r>
    </w:p>
    <w:p w14:paraId="3519907E" w14:textId="77777777" w:rsidR="0094287D" w:rsidRDefault="00000000">
      <w:pPr>
        <w:pStyle w:val="FirstParagraph"/>
      </w:pPr>
      <w:r>
        <w:t xml:space="preserve">Our study of a decade of tenure-track job ads in archaeology in the US reveals diverse dynamics in the demand for specialisations in topics, methods and geographic focus, and in the instructions to applicants to these jobs . While these dynamics are familiar to scholars actively seeking faculty jobs,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w:t>
      </w:r>
      <w:r>
        <w:lastRenderedPageBreak/>
        <w:t>tenure-track jobs, maybe explained by a variety of processes. Overall, we found more tenure-track jobs advertised each year than non-tenure-track, with the exception of 2013-14. This is at odds with previous work that has shown that contingent positions make up more than half of faculty positions (Colby, 2022), and that these numbers are increasing between 2004 and 2019, there was a 36% increase in the replacement of tenure-track positions by contingent positions (“The 2022 AAUP survey of tenure practices,” 2022).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fields since 2013 (Cramb et al., 2022).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 (Woolston, 2020). A survey of early career researchers in archaeology captures the impact of this dip, with three-quarters of respondents experiencing negative impacts on their careers due to the pandemic (Brami et al., 2023)</w:t>
      </w:r>
    </w:p>
    <w:p w14:paraId="30C8FB21" w14:textId="77777777" w:rsidR="0094287D" w:rsidRDefault="00000000">
      <w:pPr>
        <w:pStyle w:val="BodyText"/>
      </w:pPr>
      <w:r>
        <w:t>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topics and geographic foci of job ads were likely influenced by broader cultural movements such as Black Lives Matter, protests about racial injustice, and efforts to amplify Indigenous voices (Dunivin et al., 2022; Flewellen et al., 2021; Franklin et al., 2020; Laluk et al., 2022). COVID-19 negatively impacted Black, American Indian and Hispanic communities with significantly higher infection and morbidity rates, drawing attention to racial and socio-economic inequality in the US (Mackey et al., 2021; Tai et al., 2021).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14:paraId="2956F429" w14:textId="77777777" w:rsidR="0094287D" w:rsidRDefault="00000000">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which prohibits hiring based solely on race or ethnicity), universities appear to have tailored the content of their job ads to focus on </w:t>
      </w:r>
      <w:r>
        <w:lastRenderedPageBreak/>
        <w:t>topics where they expect Black and Indigenous researchers to be most numerous, in an effort to ensure that these researchers would be well-represented in the pool of applicants. 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(Hodder, 1999; Johnson, 2019) . This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p>
    <w:p w14:paraId="07E19434" w14:textId="77777777" w:rsidR="0094287D" w:rsidRDefault="00000000">
      <w:pPr>
        <w:pStyle w:val="BodyText"/>
      </w:pPr>
      <w:r>
        <w:t>Our data on the requirements for applicants support prior findings that the complexity of applications—and concomitantly, the labor required to apply for a tenure-track job—has gradually increased over time. This trend is especially pronounced for Assistant Professor positions, which make more demands on applicants than Associate and Full Professor positions. Consistent with results from other studies (Gershon and Rachok, 2021), our study documented a growing demand for research and teaching statements. Demand for diversity statements shows a unique trajectory, peaking in 2020-2021 and declining into the present. This may relate to the intersecting concerns emerging during the COVID-19 pandemic, which may have reached a peak in 2020-2021 and then declined over time, resulting in dropping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 (Guiden, 2024). In our data we observed a reversal of the diversity statement requirement at 0 universities. Those schools posted job ads prior 2022 that did require a diversity statement and also posted an ad in 2022 that did not require one.</w:t>
      </w:r>
    </w:p>
    <w:p w14:paraId="73FF310E" w14:textId="77777777" w:rsidR="0094287D" w:rsidRDefault="00000000">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 (e.g. Dennis et al., 2022). In recognition of this burden, not only on applicants but also on colleagues writing letters of recommendation over and over to support applicants, many hiring committees now follow the recommendations of Dennis et al. (2022) in only requesting names and </w:t>
      </w:r>
      <w:r>
        <w:lastRenderedPageBreak/>
        <w:t>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only from short-listed candidates(“Job board policies,” 2020; Mallin, 2020).</w:t>
      </w:r>
    </w:p>
    <w:p w14:paraId="2009DFB2" w14:textId="77777777" w:rsidR="0094287D" w:rsidRDefault="00000000">
      <w:pPr>
        <w:pStyle w:val="BodyText"/>
      </w:pPr>
      <w:r>
        <w:t>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universities. Our results do not show how these aspirations worked out in the topical and geographic foci of the people who were eventually hired for these positions . Future work should consider interviewing faculty hired during our study period to match up people to the ads they responded to. If the successful applicants can be identified, then the match between the details of the job ad and the applicant’s research can be analyzed. Then we can assess how effective the hiring process is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p w14:paraId="35D78203" w14:textId="77777777" w:rsidR="0094287D" w:rsidRDefault="00000000">
      <w:pPr>
        <w:pStyle w:val="Heading1"/>
      </w:pPr>
      <w:bookmarkStart w:id="18" w:name="conclusion"/>
      <w:bookmarkEnd w:id="17"/>
      <w:r>
        <w:t>Conclusion</w:t>
      </w:r>
    </w:p>
    <w:p w14:paraId="27A37878" w14:textId="77777777" w:rsidR="0094287D" w:rsidRDefault="00000000">
      <w:pPr>
        <w:pStyle w:val="FirstParagraph"/>
      </w:pPr>
      <w:r>
        <w:t>Our results show that job ads offer a nuanced record of disciplinary history, documenting shifting trends in topics, methods, and geographic foci, with higher chronological resolution than many other sources, such as undergraduate textbooks (Lyman, 2010). The short periods of time spanning the rise and fall of some of the foci we observed has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is that a graduate student who has invested in developing technical expertise in a method during their studies, in addition to a topic and region, might be less exposed to the whims of the job market than a student without a distinct area of technical expertise.</w:t>
      </w:r>
    </w:p>
    <w:p w14:paraId="45516318" w14:textId="77777777" w:rsidR="0094287D" w:rsidRDefault="00000000">
      <w:pPr>
        <w:pStyle w:val="BodyText"/>
      </w:pPr>
      <w:r>
        <w:t>Jobs ads also demonstrate how archaeologists draw on current events and politics to prioritize topics, regions and methods in their hiring plans. This is consistent with prior findings, such Wilk (1985)’s analysis of publications that found trends in explanations of Mayan collapse during the 1960s-1970s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p w14:paraId="5E535ED7" w14:textId="77777777" w:rsidR="0094287D" w:rsidRDefault="00000000">
      <w:pPr>
        <w:pStyle w:val="Heading1"/>
      </w:pPr>
      <w:bookmarkStart w:id="19" w:name="acknowledgements"/>
      <w:bookmarkEnd w:id="18"/>
      <w:r>
        <w:lastRenderedPageBreak/>
        <w:t>Acknowledgements</w:t>
      </w:r>
    </w:p>
    <w:p w14:paraId="3F6A571D" w14:textId="77777777" w:rsidR="0094287D" w:rsidRDefault="00000000">
      <w:r>
        <w:br w:type="page"/>
      </w:r>
    </w:p>
    <w:p w14:paraId="6D9CDAC9" w14:textId="77777777" w:rsidR="0094287D" w:rsidRDefault="00000000">
      <w:pPr>
        <w:pStyle w:val="Heading1"/>
      </w:pPr>
      <w:bookmarkStart w:id="20" w:name="references"/>
      <w:bookmarkEnd w:id="19"/>
      <w:r>
        <w:lastRenderedPageBreak/>
        <w:t>References</w:t>
      </w:r>
    </w:p>
    <w:p w14:paraId="35823666" w14:textId="77777777" w:rsidR="0094287D" w:rsidRDefault="00000000">
      <w:pPr>
        <w:pStyle w:val="Bibliography"/>
      </w:pPr>
      <w:bookmarkStart w:id="21" w:name="ref-barnett2010"/>
      <w:bookmarkStart w:id="22" w:name="refs"/>
      <w:r>
        <w:t xml:space="preserve">Barnett, G.A., Danowski, J.A., Feeley, T.H., Stalker, J., 2010. Measuring Quality in Communication Doctoral Education Using Network Analysis of Faculty-Hiring Patterns. Journal of Communication 60, 388–411. </w:t>
      </w:r>
      <w:hyperlink r:id="rId14">
        <w:r>
          <w:rPr>
            <w:rStyle w:val="Hyperlink"/>
          </w:rPr>
          <w:t>https://doi.org/10.1111/j.1460-2466.2010.01487.x</w:t>
        </w:r>
      </w:hyperlink>
    </w:p>
    <w:p w14:paraId="5F6DB7C0" w14:textId="77777777" w:rsidR="0094287D" w:rsidRDefault="00000000">
      <w:pPr>
        <w:pStyle w:val="Bibliography"/>
      </w:pPr>
      <w:bookmarkStart w:id="23" w:name="ref-beck"/>
      <w:bookmarkEnd w:id="21"/>
      <w:r>
        <w:t>Beck, J., n.d. Stubborn architecture: The jobs crisis in academic anthropology. SAR Press, Santa Fe.</w:t>
      </w:r>
    </w:p>
    <w:p w14:paraId="0F2F32A5" w14:textId="77777777" w:rsidR="0094287D" w:rsidRDefault="00000000">
      <w:pPr>
        <w:pStyle w:val="Bibliography"/>
      </w:pPr>
      <w:bookmarkStart w:id="24" w:name="ref-bessner2021"/>
      <w:bookmarkEnd w:id="23"/>
      <w:r>
        <w:t>Bessner, D., Brenes, M., 2021. The academic jobs crisis: A forum. Passport: The Society for Historians of American Foreign Relations Review 52, 3053.</w:t>
      </w:r>
    </w:p>
    <w:p w14:paraId="20B69B04" w14:textId="77777777" w:rsidR="0094287D" w:rsidRDefault="00000000">
      <w:pPr>
        <w:pStyle w:val="Bibliography"/>
      </w:pPr>
      <w:bookmarkStart w:id="25" w:name="ref-bramiPrecariousFutureReflections2023"/>
      <w:bookmarkEnd w:id="24"/>
      <w:r>
        <w:t xml:space="preserve">Brami, M., Emra, S., Muller, A., Preda-Bălănică, B., Irvine, B., Milić, B., Malagó, A., Meheux, K., Fernández-Götz, M., 2023. A Precarious Future: Reflections from a Survey of Early Career Researchers in Archaeology. European Journal of Archaeology 26, 226–250. </w:t>
      </w:r>
      <w:hyperlink r:id="rId15">
        <w:r>
          <w:rPr>
            <w:rStyle w:val="Hyperlink"/>
          </w:rPr>
          <w:t>https://doi.org/10.1017/eaa.2022.41</w:t>
        </w:r>
      </w:hyperlink>
    </w:p>
    <w:p w14:paraId="1865AF57" w14:textId="77777777" w:rsidR="0094287D" w:rsidRDefault="00000000">
      <w:pPr>
        <w:pStyle w:val="Bibliography"/>
      </w:pPr>
      <w:bookmarkStart w:id="26" w:name="ref-castillo"/>
      <w:bookmarkEnd w:id="25"/>
      <w:r>
        <w:t xml:space="preserve">Castillo, E. del, Meyers, A., Chen, P., n.d. A social Network Analysis of the Operations Research/Industrial Engineering Faculty Hiring Network. </w:t>
      </w:r>
      <w:hyperlink r:id="rId16">
        <w:r>
          <w:rPr>
            <w:rStyle w:val="Hyperlink"/>
          </w:rPr>
          <w:t>https://doi.org/10.48550/arXiv.1803.00125</w:t>
        </w:r>
      </w:hyperlink>
    </w:p>
    <w:p w14:paraId="100449A4" w14:textId="77777777" w:rsidR="0094287D" w:rsidRDefault="00000000">
      <w:pPr>
        <w:pStyle w:val="Bibliography"/>
      </w:pPr>
      <w:bookmarkStart w:id="27" w:name="ref-clauset2015"/>
      <w:bookmarkEnd w:id="26"/>
      <w:r>
        <w:t xml:space="preserve">Clauset, A., Arbesman, S., Larremore, D.B., 2015. Systematic inequality and hierarchy in faculty hiring networks. Science Advances 1, e1400005. </w:t>
      </w:r>
      <w:hyperlink r:id="rId17">
        <w:r>
          <w:rPr>
            <w:rStyle w:val="Hyperlink"/>
          </w:rPr>
          <w:t>https://doi.org/10.1126/sciadv.1400005</w:t>
        </w:r>
      </w:hyperlink>
    </w:p>
    <w:p w14:paraId="0F89D26D" w14:textId="77777777" w:rsidR="0094287D" w:rsidRDefault="00000000">
      <w:pPr>
        <w:pStyle w:val="Bibliography"/>
      </w:pPr>
      <w:bookmarkStart w:id="28" w:name="ref-colby2022annual"/>
      <w:bookmarkEnd w:id="27"/>
      <w:r>
        <w:t>Colby, G., 2022. The annual report on the economic status of the profession, 2021–22. Academe, Summer 74–111.</w:t>
      </w:r>
    </w:p>
    <w:p w14:paraId="355A5BC4" w14:textId="77777777" w:rsidR="0094287D" w:rsidRDefault="00000000">
      <w:pPr>
        <w:pStyle w:val="Bibliography"/>
      </w:pPr>
      <w:bookmarkStart w:id="29" w:name="ref-crambChangingProfileTenureTrack2022a"/>
      <w:bookmarkEnd w:id="28"/>
      <w:r>
        <w:t xml:space="preserve">Cramb, J., Ritchison, B.T., Hadden, C.S., Zhang, Q., Alarcón-Tinajero, E., Chen, X., Jones, K.C., Jones, T., Napora, K., Veres, M., Thompson, V.D., 2022. The Changing Profile of Tenure-Track Faculty in Archaeology. Advances in Archaeological Practice 10, 371–381. </w:t>
      </w:r>
      <w:hyperlink r:id="rId18">
        <w:r>
          <w:rPr>
            <w:rStyle w:val="Hyperlink"/>
          </w:rPr>
          <w:t>https://doi.org/10.1017/aap.2022.8</w:t>
        </w:r>
      </w:hyperlink>
    </w:p>
    <w:p w14:paraId="667F4292" w14:textId="77777777" w:rsidR="0094287D" w:rsidRDefault="00000000">
      <w:pPr>
        <w:pStyle w:val="Bibliography"/>
      </w:pPr>
      <w:bookmarkStart w:id="30" w:name="ref-culver"/>
      <w:bookmarkEnd w:id="29"/>
      <w:r>
        <w:t>Culver, K., Kezar, A., 2022. The Impacts of 2020 on Advancement of Non-Tenure- Track and Adjunct Faculty.</w:t>
      </w:r>
    </w:p>
    <w:p w14:paraId="3B29C91C" w14:textId="77777777" w:rsidR="0094287D" w:rsidRDefault="00000000">
      <w:pPr>
        <w:pStyle w:val="Bibliography"/>
      </w:pPr>
      <w:bookmarkStart w:id="31" w:name="ref-dennisWorstAnthroJob2022"/>
      <w:bookmarkEnd w:id="30"/>
      <w:r>
        <w:t xml:space="preserve">Dennis, D., Docot, D., Gendron, D., Gershon, I., 2022. The Worst of Anthro Job Ads for 2021. American Anthropologist 124, 900–905. </w:t>
      </w:r>
      <w:hyperlink r:id="rId19">
        <w:r>
          <w:rPr>
            <w:rStyle w:val="Hyperlink"/>
          </w:rPr>
          <w:t>https://doi.org/10.1111/aman.13781</w:t>
        </w:r>
      </w:hyperlink>
    </w:p>
    <w:p w14:paraId="4D150A7E" w14:textId="77777777" w:rsidR="0094287D" w:rsidRDefault="00000000">
      <w:pPr>
        <w:pStyle w:val="Bibliography"/>
      </w:pPr>
      <w:bookmarkStart w:id="32" w:name="ref-dunivinBlackLivesMatter2022"/>
      <w:bookmarkEnd w:id="31"/>
      <w:r>
        <w:t xml:space="preserve">Dunivin, Z.O., Yan, H.Y., Ince, J., Rojas, F., 2022. Black lives matter protests shift public discourse. Proceedings of the National Academy of Sciences 119, e2117320119. </w:t>
      </w:r>
      <w:hyperlink r:id="rId20">
        <w:r>
          <w:rPr>
            <w:rStyle w:val="Hyperlink"/>
          </w:rPr>
          <w:t>https://doi.org/10.1073/pnas.2117320119</w:t>
        </w:r>
      </w:hyperlink>
    </w:p>
    <w:p w14:paraId="3B405D03" w14:textId="77777777" w:rsidR="0094287D" w:rsidRDefault="00000000">
      <w:pPr>
        <w:pStyle w:val="Bibliography"/>
      </w:pPr>
      <w:bookmarkStart w:id="33" w:name="ref-earle2014"/>
      <w:bookmarkEnd w:id="32"/>
      <w:r>
        <w:t>Earle, B., DelPo Kulow, M., 2014. The "Deeply Toxic" Damage Caused by the Abolition of Mandatory Retirement and Its Collision with Tenure in Higher Education: A Proposal for Statutory Repair. Southern California Interdisciplinary Law Journal 369418.</w:t>
      </w:r>
    </w:p>
    <w:p w14:paraId="2F3D22BE" w14:textId="77777777" w:rsidR="0094287D" w:rsidRDefault="00000000">
      <w:pPr>
        <w:pStyle w:val="Bibliography"/>
      </w:pPr>
      <w:bookmarkStart w:id="34" w:name="ref-feeley2021"/>
      <w:bookmarkEnd w:id="33"/>
      <w:r>
        <w:lastRenderedPageBreak/>
        <w:t xml:space="preserve">Feeley, T.H., Tutzauer, F., 2021. The faculty hiring network for PhD-granting communication programs. Scientometrics 126, 3983–4003. </w:t>
      </w:r>
      <w:hyperlink r:id="rId21">
        <w:r>
          <w:rPr>
            <w:rStyle w:val="Hyperlink"/>
          </w:rPr>
          <w:t>https://doi.org/10.1007/s11192-021-03917-y</w:t>
        </w:r>
      </w:hyperlink>
    </w:p>
    <w:p w14:paraId="576AA704" w14:textId="77777777" w:rsidR="0094287D" w:rsidRDefault="00000000">
      <w:pPr>
        <w:pStyle w:val="Bibliography"/>
      </w:pPr>
      <w:bookmarkStart w:id="35" w:name="X50d15868f2d8505c8a57296abe866e9e1e69b95"/>
      <w:bookmarkEnd w:id="34"/>
      <w:r>
        <w:t xml:space="preserve">Flewellen, A.O., Dunnavant, J.P., Odewale, A., Jones, A., Wolde-Michael, T., Crossland, Z., Franklin, M., 2021. “The Future of Archaeology Is Antiracist”: Archaeology in the Time of Black Lives Matter. American Antiquity 86, 224–243. </w:t>
      </w:r>
      <w:hyperlink r:id="rId22">
        <w:r>
          <w:rPr>
            <w:rStyle w:val="Hyperlink"/>
          </w:rPr>
          <w:t>https://doi.org/10.1017/aaq.2021.18</w:t>
        </w:r>
      </w:hyperlink>
    </w:p>
    <w:p w14:paraId="3196360C" w14:textId="77777777" w:rsidR="0094287D" w:rsidRDefault="00000000">
      <w:pPr>
        <w:pStyle w:val="Bibliography"/>
      </w:pPr>
      <w:bookmarkStart w:id="36" w:name="ref-franklinFutureNowArchaeology2020"/>
      <w:bookmarkEnd w:id="35"/>
      <w:r>
        <w:t xml:space="preserve">Franklin, M., Dunnavant, J.P., Flewellen, A.O., Odewale, A., 2020. The Future is Now: Archaeology and the Eradication of Anti-Blackness. International Journal of Historical Archaeology 24, 753–766. </w:t>
      </w:r>
      <w:hyperlink r:id="rId23">
        <w:r>
          <w:rPr>
            <w:rStyle w:val="Hyperlink"/>
          </w:rPr>
          <w:t>https://doi.org/10.1007/s10761-020-00577-1</w:t>
        </w:r>
      </w:hyperlink>
    </w:p>
    <w:p w14:paraId="6AA42BEB" w14:textId="77777777" w:rsidR="0094287D" w:rsidRDefault="00000000">
      <w:pPr>
        <w:pStyle w:val="Bibliography"/>
      </w:pPr>
      <w:bookmarkStart w:id="37" w:name="ref-HelloTristesTropes2021"/>
      <w:bookmarkEnd w:id="36"/>
      <w:r>
        <w:t xml:space="preserve">Gershon, I., Rachok, D., 2021. Hello to Tristes Tropes [WWW Document]. URL </w:t>
      </w:r>
      <w:hyperlink r:id="rId24">
        <w:r>
          <w:rPr>
            <w:rStyle w:val="Hyperlink"/>
          </w:rPr>
          <w:t>https://www.anthropology-news.org/articles/hello-to-tristes-tropes/</w:t>
        </w:r>
      </w:hyperlink>
      <w:r>
        <w:t xml:space="preserve"> (accessed 8.2.2022).</w:t>
      </w:r>
    </w:p>
    <w:p w14:paraId="3735D41A" w14:textId="77777777" w:rsidR="0094287D" w:rsidRDefault="00000000">
      <w:pPr>
        <w:pStyle w:val="Bibliography"/>
      </w:pPr>
      <w:bookmarkStart w:id="38" w:name="ref-Ghaffarzadegan_2015"/>
      <w:bookmarkEnd w:id="37"/>
      <w:r>
        <w:t xml:space="preserve">Ghaffarzadegan, N., Hawley, J., Larson, R., Xue, Y., 2015. A note on PhD population growth in biomedical sciences. Systems Research and Behavioral Science 32, 402–405. </w:t>
      </w:r>
      <w:hyperlink r:id="rId25">
        <w:r>
          <w:rPr>
            <w:rStyle w:val="Hyperlink"/>
          </w:rPr>
          <w:t>https://doi.org/10.1002/sres.2324</w:t>
        </w:r>
      </w:hyperlink>
    </w:p>
    <w:p w14:paraId="2716BB58" w14:textId="77777777" w:rsidR="0094287D" w:rsidRDefault="00000000">
      <w:pPr>
        <w:pStyle w:val="Bibliography"/>
      </w:pPr>
      <w:bookmarkStart w:id="39" w:name="ref-graeber2018"/>
      <w:bookmarkEnd w:id="38"/>
      <w:r>
        <w:t>Graeber, D., 2018. Bullshit jobs, First Simon &amp; Schuster trade paperback edition. ed. Simon &amp; Schuster Paperbacks, New York.</w:t>
      </w:r>
    </w:p>
    <w:p w14:paraId="2E1DE6E7" w14:textId="77777777" w:rsidR="0094287D" w:rsidRDefault="00000000">
      <w:pPr>
        <w:pStyle w:val="Bibliography"/>
      </w:pPr>
      <w:bookmarkStart w:id="40" w:name="ref-griffin2000native"/>
      <w:bookmarkEnd w:id="39"/>
      <w:r>
        <w:t>Griffin-Pierce, T., 2000. Native peoples of the southwest. UNM Press.</w:t>
      </w:r>
    </w:p>
    <w:p w14:paraId="4C2FEDC8" w14:textId="77777777" w:rsidR="0094287D" w:rsidRDefault="00000000">
      <w:pPr>
        <w:pStyle w:val="Bibliography"/>
      </w:pPr>
      <w:bookmarkStart w:id="41" w:name="ref-guidenAreDiversityStatements"/>
      <w:bookmarkEnd w:id="40"/>
      <w:r>
        <w:t xml:space="preserve">Guiden, M., 2024. Are Diversity Statements a Thing of the Past? Harvard is the Latest to Drop This Requirement for Job Applicants [WWW Document]. URL </w:t>
      </w:r>
      <w:hyperlink r:id="rId26">
        <w:r>
          <w:rPr>
            <w:rStyle w:val="Hyperlink"/>
          </w:rPr>
          <w:t>https://www.higheredjobs.com/Articles/articleDisplay.cfm?ID=3948</w:t>
        </w:r>
      </w:hyperlink>
      <w:r>
        <w:t xml:space="preserve"> (accessed 11.1.2024).</w:t>
      </w:r>
    </w:p>
    <w:p w14:paraId="65C1DE88" w14:textId="77777777" w:rsidR="0094287D" w:rsidRDefault="00000000">
      <w:pPr>
        <w:pStyle w:val="Bibliography"/>
      </w:pPr>
      <w:bookmarkStart w:id="42" w:name="ref-gusterson2017"/>
      <w:bookmarkEnd w:id="41"/>
      <w:r>
        <w:t xml:space="preserve">Gusterson, H., 2017. Homework: Toward a critical ethnography of the university: AES presidential address, 2017. American Ethnologist 44, 435–450. </w:t>
      </w:r>
      <w:hyperlink r:id="rId27">
        <w:r>
          <w:rPr>
            <w:rStyle w:val="Hyperlink"/>
          </w:rPr>
          <w:t>https://doi.org/10.1111/amet.12520</w:t>
        </w:r>
      </w:hyperlink>
    </w:p>
    <w:p w14:paraId="5982EF2E" w14:textId="77777777" w:rsidR="0094287D" w:rsidRDefault="00000000">
      <w:pPr>
        <w:pStyle w:val="Bibliography"/>
      </w:pPr>
      <w:bookmarkStart w:id="43" w:name="Xef0e7a127f6822546c3d4a669f6ff6206ffa76f"/>
      <w:bookmarkEnd w:id="42"/>
      <w:r>
        <w:t>Hodder, I., 1999. The archaeological process: An introduction. Blackwell, Oxford.</w:t>
      </w:r>
    </w:p>
    <w:bookmarkStart w:id="44" w:name="ref-jobboar2020"/>
    <w:bookmarkEnd w:id="43"/>
    <w:p w14:paraId="0F1EA782" w14:textId="77777777" w:rsidR="0094287D" w:rsidRDefault="00000000">
      <w:pPr>
        <w:pStyle w:val="Bibliography"/>
      </w:pPr>
      <w:r>
        <w:fldChar w:fldCharType="begin"/>
      </w:r>
      <w:r>
        <w:instrText>HYPERLINK "https://employers.americananthro.org/static-page/10285/job-board-policies/" \h</w:instrText>
      </w:r>
      <w:r>
        <w:fldChar w:fldCharType="separate"/>
      </w:r>
      <w:r>
        <w:rPr>
          <w:rStyle w:val="Hyperlink"/>
        </w:rPr>
        <w:t>Job board policies</w:t>
      </w:r>
      <w:r>
        <w:rPr>
          <w:rStyle w:val="Hyperlink"/>
        </w:rPr>
        <w:fldChar w:fldCharType="end"/>
      </w:r>
      <w:r>
        <w:t>, 2020.</w:t>
      </w:r>
    </w:p>
    <w:p w14:paraId="260CDA01" w14:textId="77777777" w:rsidR="0094287D" w:rsidRDefault="00000000">
      <w:pPr>
        <w:pStyle w:val="Bibliography"/>
      </w:pPr>
      <w:bookmarkStart w:id="45" w:name="ref-johnson2019archaeological"/>
      <w:bookmarkEnd w:id="44"/>
      <w:r>
        <w:t>Johnson, M., 2019. Archaeological theory: An introduction. John Wiley &amp; Sons.</w:t>
      </w:r>
    </w:p>
    <w:p w14:paraId="56141F8B" w14:textId="77777777" w:rsidR="0094287D" w:rsidRDefault="00000000">
      <w:pPr>
        <w:pStyle w:val="Bibliography"/>
      </w:pPr>
      <w:bookmarkStart w:id="46" w:name="ref-kaskie2016"/>
      <w:bookmarkEnd w:id="45"/>
      <w:r>
        <w:t xml:space="preserve">Kaskie, B., 2016. The Academy Is Aging in Place: Assessing Alternatives for Modifying Institutions of Higher Education. The Gerontologist gnw001. </w:t>
      </w:r>
      <w:hyperlink r:id="rId28">
        <w:r>
          <w:rPr>
            <w:rStyle w:val="Hyperlink"/>
          </w:rPr>
          <w:t>https://doi.org/10.1093/geront/gnw001</w:t>
        </w:r>
      </w:hyperlink>
    </w:p>
    <w:p w14:paraId="5D0B06C3" w14:textId="77777777" w:rsidR="0094287D" w:rsidRDefault="00000000">
      <w:pPr>
        <w:pStyle w:val="Bibliography"/>
      </w:pPr>
      <w:bookmarkStart w:id="47" w:name="ref-kawaSocialNetworkUS2019"/>
      <w:bookmarkEnd w:id="46"/>
      <w:r>
        <w:t xml:space="preserve">Kawa, N.C., Clavijo Michelangeli, J.A., Clark, J.L., Ginsberg, D., McCarty, C., 2019. The Social Network of US Academic Anthropology and Its Inequalities. American Anthropologist 121, 14–29. </w:t>
      </w:r>
      <w:hyperlink r:id="rId29">
        <w:r>
          <w:rPr>
            <w:rStyle w:val="Hyperlink"/>
          </w:rPr>
          <w:t>https://doi.org/10.1111/aman.13158</w:t>
        </w:r>
      </w:hyperlink>
    </w:p>
    <w:p w14:paraId="0B0F5CEE" w14:textId="77777777" w:rsidR="0094287D" w:rsidRDefault="00000000">
      <w:pPr>
        <w:pStyle w:val="Bibliography"/>
      </w:pPr>
      <w:bookmarkStart w:id="48" w:name="ref-kelsky2015"/>
      <w:bookmarkEnd w:id="47"/>
      <w:r>
        <w:t>Kelsky, K., Three Rivers Press, 2015. The professor is in : The essential guide to turning your ph.d. Into a job, First edition. ed. Three Rivers Press, New York.</w:t>
      </w:r>
    </w:p>
    <w:p w14:paraId="676CD420" w14:textId="77777777" w:rsidR="0094287D" w:rsidRDefault="00000000">
      <w:pPr>
        <w:pStyle w:val="Bibliography"/>
      </w:pPr>
      <w:bookmarkStart w:id="49" w:name="ref-lalukArchaeologySocialJustice2022"/>
      <w:bookmarkEnd w:id="48"/>
      <w:r>
        <w:lastRenderedPageBreak/>
        <w:t xml:space="preserve">Laluk, N.C., Montgomery, L.M., Tsosie, R., McCleave, C., Miron, R., Carroll, S.R., Aguilar, J., Thompson, A.B.W., Nelson, P., Sunseri, J., Trujillo, I., DeAntoni, G.M., Castro, G., Schneider, T.D., 2022. Archaeology and Social Justice in Native America. American Antiquity 87, 659–682. </w:t>
      </w:r>
      <w:hyperlink r:id="rId30">
        <w:r>
          <w:rPr>
            <w:rStyle w:val="Hyperlink"/>
          </w:rPr>
          <w:t>https://doi.org/10.1017/aaq.2022.59</w:t>
        </w:r>
      </w:hyperlink>
    </w:p>
    <w:p w14:paraId="5512BC45" w14:textId="77777777" w:rsidR="0094287D" w:rsidRDefault="00000000">
      <w:pPr>
        <w:pStyle w:val="Bibliography"/>
      </w:pPr>
      <w:bookmarkStart w:id="50" w:name="ref-larson2014"/>
      <w:bookmarkEnd w:id="49"/>
      <w:r>
        <w:t xml:space="preserve">Larson, R.C., Ghaffarzadegan, N., Xue, Y., 2014. Too Many PhD Graduates or Too Few Academic Job Openings: The Basic Reproductive Number R0 in Academia. Systems Research and Behavioral Science 31, 745–750. </w:t>
      </w:r>
      <w:hyperlink r:id="rId31">
        <w:r>
          <w:rPr>
            <w:rStyle w:val="Hyperlink"/>
          </w:rPr>
          <w:t>https://doi.org/10.1002/sres.2210</w:t>
        </w:r>
      </w:hyperlink>
    </w:p>
    <w:p w14:paraId="4ACD8B71" w14:textId="77777777" w:rsidR="0094287D" w:rsidRDefault="00000000">
      <w:pPr>
        <w:pStyle w:val="Bibliography"/>
      </w:pPr>
      <w:bookmarkStart w:id="51" w:name="ref-lightfoot2021preparing"/>
      <w:bookmarkEnd w:id="50"/>
      <w:r>
        <w:t>Lightfoot, E., Franklin, C., Beltran, R., 2021. Preparing for the academic job market: A guide for social work doctoral students and their mentors. Journal of Social Work Education 57, 153–164.</w:t>
      </w:r>
    </w:p>
    <w:p w14:paraId="4A6B48DD" w14:textId="77777777" w:rsidR="0094287D" w:rsidRDefault="00000000">
      <w:pPr>
        <w:pStyle w:val="Bibliography"/>
      </w:pPr>
      <w:bookmarkStart w:id="52" w:name="ref-lyman2010american"/>
      <w:bookmarkEnd w:id="51"/>
      <w:r>
        <w:t>Lyman, R.L., 2010. American archaeology textbooks as reflections of the history of the discipline. North American Archaeologist 31, 1–25.</w:t>
      </w:r>
    </w:p>
    <w:p w14:paraId="10D725D2" w14:textId="77777777" w:rsidR="0094287D" w:rsidRDefault="00000000">
      <w:pPr>
        <w:pStyle w:val="Bibliography"/>
      </w:pPr>
      <w:bookmarkStart w:id="53" w:name="ref-mackeyRacialEthnicDisparities2021"/>
      <w:bookmarkEnd w:id="52"/>
      <w:r>
        <w:t xml:space="preserve">Mackey, K., Ayers, C.K., Kondo, K.K., Saha, S., Advani, S.M., Young, S., Spencer, H., Rusek, M., Anderson, J., Veazie, S., Smith, M., Kansagara, D., 2021. Racial and ethnic disparities in COVID-19related infections, hospitalizations, and deaths. Annals of Internal Medicine 174, 362–373. </w:t>
      </w:r>
      <w:hyperlink r:id="rId32">
        <w:r>
          <w:rPr>
            <w:rStyle w:val="Hyperlink"/>
          </w:rPr>
          <w:t>https://doi.org/10.7326/M20-6306</w:t>
        </w:r>
      </w:hyperlink>
    </w:p>
    <w:p w14:paraId="28D2B378" w14:textId="77777777" w:rsidR="0094287D" w:rsidRDefault="00000000">
      <w:pPr>
        <w:pStyle w:val="Bibliography"/>
      </w:pPr>
      <w:bookmarkStart w:id="54" w:name="ref-mackieMarketShareAccounting2023"/>
      <w:bookmarkEnd w:id="53"/>
      <w:r>
        <w:t xml:space="preserve">Mackie, M.E., Rockwell, H., 2023. Beyond market share: Accounting for doctoral program size in recent rates of anthropology faculty job placement. PLOS ONE 18, e0285330. </w:t>
      </w:r>
      <w:hyperlink r:id="rId33">
        <w:r>
          <w:rPr>
            <w:rStyle w:val="Hyperlink"/>
          </w:rPr>
          <w:t>https://doi.org/10.1371/journal.pone.0285330</w:t>
        </w:r>
      </w:hyperlink>
    </w:p>
    <w:p w14:paraId="363BD5B1" w14:textId="77777777" w:rsidR="0094287D" w:rsidRDefault="00000000">
      <w:pPr>
        <w:pStyle w:val="Bibliography"/>
      </w:pPr>
      <w:bookmarkStart w:id="55" w:name="ref-mallinLetsMakeAcademic2020"/>
      <w:bookmarkEnd w:id="54"/>
      <w:r>
        <w:t xml:space="preserve">Mallin, S., 2020. </w:t>
      </w:r>
      <w:hyperlink r:id="rId34">
        <w:r>
          <w:rPr>
            <w:rStyle w:val="Hyperlink"/>
          </w:rPr>
          <w:t>Let’s make the academic job market more humane</w:t>
        </w:r>
      </w:hyperlink>
      <w:r>
        <w:t>.</w:t>
      </w:r>
    </w:p>
    <w:p w14:paraId="3081ABA3" w14:textId="77777777" w:rsidR="0094287D" w:rsidRDefault="00000000">
      <w:pPr>
        <w:pStyle w:val="Bibliography"/>
      </w:pPr>
      <w:bookmarkStart w:id="56" w:name="ref-mirowski2011"/>
      <w:bookmarkEnd w:id="55"/>
      <w:r>
        <w:t>Mirowski, P., 2011. Science-mart : Privatizing american science. Harvard University Press, Cambridge, Mass.</w:t>
      </w:r>
    </w:p>
    <w:p w14:paraId="79A258DD" w14:textId="77777777" w:rsidR="0094287D" w:rsidRDefault="00000000">
      <w:pPr>
        <w:pStyle w:val="Bibliography"/>
      </w:pPr>
      <w:bookmarkStart w:id="57" w:name="ref-morganReadyNotArchaeological2023"/>
      <w:bookmarkEnd w:id="56"/>
      <w:r>
        <w:t xml:space="preserve">Morgan, R., 2023. Ready or Not: An Archaeological Knowledge, Skills, and Abilities Needs Assessment. Advances in Archaeological Practice 11, 371–387. </w:t>
      </w:r>
      <w:hyperlink r:id="rId35">
        <w:r>
          <w:rPr>
            <w:rStyle w:val="Hyperlink"/>
          </w:rPr>
          <w:t>https://doi.org/10.1017/aap.2023.21</w:t>
        </w:r>
      </w:hyperlink>
    </w:p>
    <w:p w14:paraId="64380F84" w14:textId="77777777" w:rsidR="0094287D" w:rsidRDefault="00000000">
      <w:pPr>
        <w:pStyle w:val="Bibliography"/>
      </w:pPr>
      <w:bookmarkStart w:id="58" w:name="ref-musial2018five"/>
      <w:bookmarkEnd w:id="57"/>
      <w:r>
        <w:t>Musial, J., Holmes, C., 2018. Five-year study on hiring trends in gender, women’s, and feminist studies. Feminist Studies 44, 253–272.</w:t>
      </w:r>
    </w:p>
    <w:p w14:paraId="55B8371C" w14:textId="77777777" w:rsidR="0094287D" w:rsidRDefault="00000000">
      <w:pPr>
        <w:pStyle w:val="Bibliography"/>
      </w:pPr>
      <w:bookmarkStart w:id="59" w:name="ref-nevin2019"/>
      <w:bookmarkEnd w:id="58"/>
      <w:r>
        <w:t xml:space="preserve">Nevin, A.D., 2019. Academic Hiring Networks and Institutional Prestige: A Case Study of Canadian Sociology. Canadian Review of Sociology/Revue canadienne de sociologie 56, 389–420. </w:t>
      </w:r>
      <w:hyperlink r:id="rId36">
        <w:r>
          <w:rPr>
            <w:rStyle w:val="Hyperlink"/>
          </w:rPr>
          <w:t>https://doi.org/10.1111/cars.12252</w:t>
        </w:r>
      </w:hyperlink>
    </w:p>
    <w:p w14:paraId="17270631" w14:textId="77777777" w:rsidR="0094287D" w:rsidRDefault="00000000">
      <w:pPr>
        <w:pStyle w:val="Bibliography"/>
      </w:pPr>
      <w:bookmarkStart w:id="60" w:name="ref-Passalacqua_2018"/>
      <w:bookmarkEnd w:id="59"/>
      <w:r>
        <w:t xml:space="preserve">Passalacqua, N.V., 2018. Are careers in biological anthropology sustainable? American Journal of Physical Anthropology 166, 772–776. </w:t>
      </w:r>
      <w:hyperlink r:id="rId37">
        <w:r>
          <w:rPr>
            <w:rStyle w:val="Hyperlink"/>
          </w:rPr>
          <w:t>https://doi.org/10.1002/ajpa.23457</w:t>
        </w:r>
      </w:hyperlink>
    </w:p>
    <w:p w14:paraId="4F25312F" w14:textId="77777777" w:rsidR="0094287D" w:rsidRDefault="00000000">
      <w:pPr>
        <w:pStyle w:val="Bibliography"/>
      </w:pPr>
      <w:bookmarkStart w:id="61" w:name="ref-platzerAcademicPrecarityAmerican2018"/>
      <w:bookmarkEnd w:id="60"/>
      <w:r>
        <w:t xml:space="preserve">Platzer, D., Allison, A., 2018. Academic Precarity in American Anthropology [WWW Document]. URL </w:t>
      </w:r>
      <w:hyperlink r:id="rId38">
        <w:r>
          <w:rPr>
            <w:rStyle w:val="Hyperlink"/>
          </w:rPr>
          <w:t>https://culanth.org/fieldsights/academic-precarity-in-american-anthropology</w:t>
        </w:r>
      </w:hyperlink>
      <w:r>
        <w:t xml:space="preserve"> (accessed 10.31.2024).</w:t>
      </w:r>
    </w:p>
    <w:p w14:paraId="60DCB86E" w14:textId="77777777" w:rsidR="0094287D" w:rsidRDefault="00000000">
      <w:pPr>
        <w:pStyle w:val="Bibliography"/>
      </w:pPr>
      <w:bookmarkStart w:id="62" w:name="ref-rabinow1992"/>
      <w:bookmarkEnd w:id="61"/>
      <w:r>
        <w:lastRenderedPageBreak/>
        <w:t>Rabinow, P., 1992. For hire: Resolutely late modern. School of American Research Press, Santa Fe, p. 5971.</w:t>
      </w:r>
    </w:p>
    <w:p w14:paraId="0E9C446F" w14:textId="77777777" w:rsidR="0094287D" w:rsidRDefault="00000000">
      <w:pPr>
        <w:pStyle w:val="Bibliography"/>
      </w:pPr>
      <w:bookmarkStart w:id="63" w:name="ref-ribeiro2023"/>
      <w:bookmarkEnd w:id="62"/>
      <w:r>
        <w:t xml:space="preserve">Ribeiro, A., Giamakis, C., 2023. On Class and Elitism in Archaeology. Open Archaeology 9, 20220309. </w:t>
      </w:r>
      <w:hyperlink r:id="rId39">
        <w:r>
          <w:rPr>
            <w:rStyle w:val="Hyperlink"/>
          </w:rPr>
          <w:t>https://doi.org/10.1515/opar-2022-0309</w:t>
        </w:r>
      </w:hyperlink>
    </w:p>
    <w:p w14:paraId="1BF9FC17" w14:textId="77777777" w:rsidR="0094287D" w:rsidRDefault="00000000">
      <w:pPr>
        <w:pStyle w:val="Bibliography"/>
      </w:pPr>
      <w:bookmarkStart w:id="64" w:name="ref-soucek2021diversity"/>
      <w:bookmarkEnd w:id="63"/>
      <w:r>
        <w:t>Soucek, B., 2021. Diversity statements. UC Davis L. Rev. 55, 1989.</w:t>
      </w:r>
    </w:p>
    <w:p w14:paraId="6048C6CF" w14:textId="77777777" w:rsidR="0094287D" w:rsidRDefault="00000000">
      <w:pPr>
        <w:pStyle w:val="Bibliography"/>
      </w:pPr>
      <w:bookmarkStart w:id="65" w:name="ref-speakman2018choosing"/>
      <w:bookmarkEnd w:id="64"/>
      <w:r>
        <w:t>Speakman, R.J., Hadden, C.S., Colvin, M.H., Cramb, J., Jones, K., Jones, T.W., Kling, C.L., Lulewicz, I., Napora, K.G., Reinberger, K.L., others, 2018. Choosing a path to the ancient world in a modern market: The reality of faculty jobs in archaeology. American Antiquity 83, 1–12.</w:t>
      </w:r>
    </w:p>
    <w:p w14:paraId="62FFE5D6" w14:textId="77777777" w:rsidR="0094287D" w:rsidRDefault="00000000">
      <w:pPr>
        <w:pStyle w:val="Bibliography"/>
      </w:pPr>
      <w:bookmarkStart w:id="66" w:name="ref-taiDisproportionateImpactCOVID192021"/>
      <w:bookmarkEnd w:id="65"/>
      <w:r>
        <w:t xml:space="preserve">Tai, D.B.G., Shah, A., Doubeni, C.A., Sia, I.G., Wieland, M.L., 2021. The disproportionate impact of COVID-19 on racial and ethnic minorities in the united states. Clinical Infectious Diseases 72, 703–706. </w:t>
      </w:r>
      <w:hyperlink r:id="rId40">
        <w:r>
          <w:rPr>
            <w:rStyle w:val="Hyperlink"/>
          </w:rPr>
          <w:t>https://doi.org/10.1093/cid/ciaa815</w:t>
        </w:r>
      </w:hyperlink>
    </w:p>
    <w:bookmarkStart w:id="67" w:name="ref-the20222022"/>
    <w:bookmarkEnd w:id="66"/>
    <w:p w14:paraId="0E213F80" w14:textId="77777777" w:rsidR="0094287D" w:rsidRDefault="00000000">
      <w:pPr>
        <w:pStyle w:val="Bibliography"/>
      </w:pPr>
      <w:r>
        <w:fldChar w:fldCharType="begin"/>
      </w:r>
      <w:r>
        <w:instrText>HYPERLINK ". https://www.aaup.org/file/2022_AAUP_Survey_of_Tenure_Practices.pdf" \h</w:instrText>
      </w:r>
      <w:r>
        <w:fldChar w:fldCharType="separate"/>
      </w:r>
      <w:r>
        <w:rPr>
          <w:rStyle w:val="Hyperlink"/>
        </w:rPr>
        <w:t>The 2022 AAUP survey of tenure practices</w:t>
      </w:r>
      <w:r>
        <w:rPr>
          <w:rStyle w:val="Hyperlink"/>
        </w:rPr>
        <w:fldChar w:fldCharType="end"/>
      </w:r>
      <w:r>
        <w:t>, 2022.</w:t>
      </w:r>
    </w:p>
    <w:p w14:paraId="2C8DD589" w14:textId="77777777" w:rsidR="0094287D" w:rsidRDefault="00000000">
      <w:pPr>
        <w:pStyle w:val="Bibliography"/>
      </w:pPr>
      <w:bookmarkStart w:id="68" w:name="ref-Trevithick2010"/>
      <w:bookmarkEnd w:id="67"/>
      <w:r>
        <w:t xml:space="preserve">Trevithick, A., 2010. Anthropology and the new faculty majority: Adjunct and contingent labor. Anthropology News 51, 4–4. </w:t>
      </w:r>
      <w:hyperlink r:id="rId41">
        <w:r>
          <w:rPr>
            <w:rStyle w:val="Hyperlink"/>
          </w:rPr>
          <w:t>https://doi.org/10.1111/j.1556-3502.2010.51904.x</w:t>
        </w:r>
      </w:hyperlink>
    </w:p>
    <w:p w14:paraId="5845BFE9" w14:textId="77777777" w:rsidR="0094287D" w:rsidRDefault="00000000">
      <w:pPr>
        <w:pStyle w:val="Bibliography"/>
      </w:pPr>
      <w:bookmarkStart w:id="69" w:name="Xcd31d39e5e719de1751c56e4e26f4a425729374"/>
      <w:bookmarkEnd w:id="68"/>
      <w:r>
        <w:t xml:space="preserve">Wapman, K.H., Zhang, S., Clauset, A., Larremore, D.B., 2022. Quantifying hierarchy and dynamics in US faculty hiring and retention. Nature 610, 120–127. </w:t>
      </w:r>
      <w:hyperlink r:id="rId42">
        <w:r>
          <w:rPr>
            <w:rStyle w:val="Hyperlink"/>
          </w:rPr>
          <w:t>https://doi.org/10.1038/s41586-022-05222-x</w:t>
        </w:r>
      </w:hyperlink>
    </w:p>
    <w:p w14:paraId="06E03101" w14:textId="77777777" w:rsidR="0094287D" w:rsidRDefault="00000000">
      <w:pPr>
        <w:pStyle w:val="Bibliography"/>
      </w:pPr>
      <w:bookmarkStart w:id="70" w:name="ref-wilk1985ancient"/>
      <w:bookmarkEnd w:id="69"/>
      <w:r>
        <w:t>Wilk, R.R., 1985. The ancient maya and the political present. Journal of anthropological research 41, 307–326.</w:t>
      </w:r>
    </w:p>
    <w:p w14:paraId="61C4A14B" w14:textId="77777777" w:rsidR="0094287D" w:rsidRDefault="00000000">
      <w:pPr>
        <w:pStyle w:val="Bibliography"/>
      </w:pPr>
      <w:bookmarkStart w:id="71" w:name="ref-woolstonJuniorResearchersHit2020"/>
      <w:bookmarkEnd w:id="70"/>
      <w:r>
        <w:t xml:space="preserve">Woolston, C., 2020. Junior researchers hit by coronavirus-triggered hiring freezes. Nature 582, 449–450. </w:t>
      </w:r>
      <w:hyperlink r:id="rId43">
        <w:r>
          <w:rPr>
            <w:rStyle w:val="Hyperlink"/>
          </w:rPr>
          <w:t>https://doi.org/10.1038/d41586-020-01656-3</w:t>
        </w:r>
      </w:hyperlink>
    </w:p>
    <w:bookmarkEnd w:id="22"/>
    <w:bookmarkEnd w:id="71"/>
    <w:p w14:paraId="4F6CA159" w14:textId="77777777" w:rsidR="0094287D" w:rsidRDefault="00000000">
      <w:r>
        <w:br w:type="page"/>
      </w:r>
    </w:p>
    <w:p w14:paraId="1576AAC7" w14:textId="77777777" w:rsidR="0094287D" w:rsidRDefault="00000000">
      <w:pPr>
        <w:pStyle w:val="Heading3"/>
      </w:pPr>
      <w:bookmarkStart w:id="72" w:name="colophon"/>
      <w:r>
        <w:lastRenderedPageBreak/>
        <w:t>Colophon</w:t>
      </w:r>
    </w:p>
    <w:p w14:paraId="048246CC" w14:textId="77777777" w:rsidR="0094287D" w:rsidRDefault="00000000">
      <w:pPr>
        <w:pStyle w:val="FirstParagraph"/>
      </w:pPr>
      <w:r>
        <w:t>This report was generated on 2025-01-25 13:02:33.45846 using the following computational environment and dependencies:</w:t>
      </w:r>
    </w:p>
    <w:p w14:paraId="14E2C3EC" w14:textId="77777777" w:rsidR="0094287D" w:rsidRDefault="00000000">
      <w:pPr>
        <w:pStyle w:val="SourceCode"/>
      </w:pPr>
      <w:r>
        <w:rPr>
          <w:rStyle w:val="VerbatimChar"/>
        </w:rPr>
        <w:t>─ Session info ───────────────────────────────────────────────────────────────</w:t>
      </w:r>
      <w:r>
        <w:br/>
      </w:r>
      <w:r>
        <w:rPr>
          <w:rStyle w:val="VerbatimChar"/>
        </w:rPr>
        <w:t xml:space="preserve"> setting  value</w:t>
      </w:r>
      <w:r>
        <w:br/>
      </w:r>
      <w:r>
        <w:rPr>
          <w:rStyle w:val="VerbatimChar"/>
        </w:rPr>
        <w:t xml:space="preserve"> version  R version 4.3.1 (2023-06-16)</w:t>
      </w:r>
      <w:r>
        <w:br/>
      </w:r>
      <w:r>
        <w:rPr>
          <w:rStyle w:val="VerbatimChar"/>
        </w:rPr>
        <w:t xml:space="preserve"> os       macOS Monterey 12.7.6</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Europe/Dublin</w:t>
      </w:r>
      <w:r>
        <w:br/>
      </w:r>
      <w:r>
        <w:rPr>
          <w:rStyle w:val="VerbatimChar"/>
        </w:rPr>
        <w:t xml:space="preserve"> date     2025-01-25</w:t>
      </w:r>
      <w:r>
        <w:br/>
      </w:r>
      <w:r>
        <w:rPr>
          <w:rStyle w:val="VerbatimChar"/>
        </w:rPr>
        <w:t xml:space="preserve"> pandoc   3.2 @ /Applications/RStudio.app/Contents/Resources/app/quarto/bin/tools/aarch64/ (via rmarkdown)</w:t>
      </w:r>
      <w:r>
        <w:br/>
      </w:r>
      <w:r>
        <w:br/>
      </w:r>
      <w:r>
        <w:rPr>
          <w:rStyle w:val="VerbatimChar"/>
        </w:rPr>
        <w:t>─ Packages ───────────────────────────────────────────────────────────────────</w:t>
      </w:r>
      <w:r>
        <w:br/>
      </w:r>
      <w:r>
        <w:rPr>
          <w:rStyle w:val="VerbatimChar"/>
        </w:rPr>
        <w:t xml:space="preserve"> package      * version date (UTC) lib source</w:t>
      </w:r>
      <w:r>
        <w:br/>
      </w:r>
      <w:r>
        <w:rPr>
          <w:rStyle w:val="VerbatimChar"/>
        </w:rPr>
        <w:t xml:space="preserve"> beeswarm       0.4.0   2021-06-01 [1] CRAN (R 4.3.0)</w:t>
      </w:r>
      <w:r>
        <w:br/>
      </w:r>
      <w:r>
        <w:rPr>
          <w:rStyle w:val="VerbatimChar"/>
        </w:rPr>
        <w:t xml:space="preserve"> bit            4.0.5   2022-11-15 [1] CRAN (R 4.3.0)</w:t>
      </w:r>
      <w:r>
        <w:br/>
      </w:r>
      <w:r>
        <w:rPr>
          <w:rStyle w:val="VerbatimChar"/>
        </w:rPr>
        <w:t xml:space="preserve"> bit64          4.0.5   2020-08-30 [1] CRAN (R 4.3.0)</w:t>
      </w:r>
      <w:r>
        <w:br/>
      </w:r>
      <w:r>
        <w:rPr>
          <w:rStyle w:val="VerbatimChar"/>
        </w:rPr>
        <w:t xml:space="preserve"> cachem         1.1.0   2024-05-16 [1] CRAN (R 4.3.3)</w:t>
      </w:r>
      <w:r>
        <w:br/>
      </w:r>
      <w:r>
        <w:rPr>
          <w:rStyle w:val="VerbatimChar"/>
        </w:rPr>
        <w:t xml:space="preserve"> cellranger     1.1.0   2016-07-27 [1] CRAN (R 4.3.0)</w:t>
      </w:r>
      <w:r>
        <w:br/>
      </w:r>
      <w:r>
        <w:rPr>
          <w:rStyle w:val="VerbatimChar"/>
        </w:rPr>
        <w:t xml:space="preserve"> cli            3.6.1   2023-03-23 [1] CRAN (R 4.3.0)</w:t>
      </w:r>
      <w:r>
        <w:br/>
      </w:r>
      <w:r>
        <w:rPr>
          <w:rStyle w:val="VerbatimChar"/>
        </w:rPr>
        <w:t xml:space="preserve"> colorspace     2.1-0   2023-01-23 [1] CRAN (R 4.3.0)</w:t>
      </w:r>
      <w:r>
        <w:br/>
      </w:r>
      <w:r>
        <w:rPr>
          <w:rStyle w:val="VerbatimChar"/>
        </w:rPr>
        <w:t xml:space="preserve"> cowplot      * 1.1.3   2024-01-22 [1] CRAN (R 4.3.1)</w:t>
      </w:r>
      <w:r>
        <w:br/>
      </w:r>
      <w:r>
        <w:rPr>
          <w:rStyle w:val="VerbatimChar"/>
        </w:rPr>
        <w:t xml:space="preserve"> crayon         1.5.2   2022-09-29 [1] CRAN (R 4.3.0)</w:t>
      </w:r>
      <w:r>
        <w:br/>
      </w:r>
      <w:r>
        <w:rPr>
          <w:rStyle w:val="VerbatimChar"/>
        </w:rPr>
        <w:t xml:space="preserve"> data.table     1.14.8  2023-02-17 [1] CRAN (R 4.3.0)</w:t>
      </w:r>
      <w:r>
        <w:br/>
      </w:r>
      <w:r>
        <w:rPr>
          <w:rStyle w:val="VerbatimChar"/>
        </w:rPr>
        <w:t xml:space="preserve"> devtools       2.4.5   2022-10-11 [1] CRAN (R 4.3.0)</w:t>
      </w:r>
      <w:r>
        <w:br/>
      </w:r>
      <w:r>
        <w:rPr>
          <w:rStyle w:val="VerbatimChar"/>
        </w:rPr>
        <w:t xml:space="preserve"> digest         0.6.37  2024-08-19 [1] CRAN (R 4.3.3)</w:t>
      </w:r>
      <w:r>
        <w:br/>
      </w:r>
      <w:r>
        <w:rPr>
          <w:rStyle w:val="VerbatimChar"/>
        </w:rPr>
        <w:t xml:space="preserve"> dplyr        * 1.1.2   2023-04-20 [1] CRAN (R 4.3.0)</w:t>
      </w:r>
      <w:r>
        <w:br/>
      </w:r>
      <w:r>
        <w:rPr>
          <w:rStyle w:val="VerbatimChar"/>
        </w:rPr>
        <w:t xml:space="preserve"> ellipsis       0.3.2   2021-04-29 [1] CRAN (R 4.3.0)</w:t>
      </w:r>
      <w:r>
        <w:br/>
      </w:r>
      <w:r>
        <w:rPr>
          <w:rStyle w:val="VerbatimChar"/>
        </w:rPr>
        <w:t xml:space="preserve"> evaluate       1.0.1   2024-10-10 [1] CRAN (R 4.3.3)</w:t>
      </w:r>
      <w:r>
        <w:br/>
      </w:r>
      <w:r>
        <w:rPr>
          <w:rStyle w:val="VerbatimChar"/>
        </w:rPr>
        <w:t xml:space="preserve"> fansi          1.0.4   2023-01-22 [1] CRAN (R 4.3.0)</w:t>
      </w:r>
      <w:r>
        <w:br/>
      </w:r>
      <w:r>
        <w:rPr>
          <w:rStyle w:val="VerbatimChar"/>
        </w:rPr>
        <w:t xml:space="preserve"> farver         2.1.1   2022-07-06 [1] CRAN (R 4.3.0)</w:t>
      </w:r>
      <w:r>
        <w:br/>
      </w:r>
      <w:r>
        <w:rPr>
          <w:rStyle w:val="VerbatimChar"/>
        </w:rPr>
        <w:t xml:space="preserve"> fastmap        1.2.0   2024-05-15 [1] CRAN (R 4.3.3)</w:t>
      </w:r>
      <w:r>
        <w:br/>
      </w:r>
      <w:r>
        <w:rPr>
          <w:rStyle w:val="VerbatimChar"/>
        </w:rPr>
        <w:t xml:space="preserve"> fiftystater  * 1.0.1   2025-01-21 [1] Github (wmurphyrd/fiftystater@28e7fa5)</w:t>
      </w:r>
      <w:r>
        <w:br/>
      </w:r>
      <w:r>
        <w:rPr>
          <w:rStyle w:val="VerbatimChar"/>
        </w:rPr>
        <w:t xml:space="preserve"> forcats      * 1.0.0   2023-01-29 [1] CRAN (R 4.3.0)</w:t>
      </w:r>
      <w:r>
        <w:br/>
      </w:r>
      <w:r>
        <w:rPr>
          <w:rStyle w:val="VerbatimChar"/>
        </w:rPr>
        <w:t xml:space="preserve"> fs             1.6.2   2023-04-25 [1] CRAN (R 4.3.0)</w:t>
      </w:r>
      <w:r>
        <w:br/>
      </w:r>
      <w:r>
        <w:rPr>
          <w:rStyle w:val="VerbatimChar"/>
        </w:rPr>
        <w:t xml:space="preserve"> generics       0.1.3   2022-07-05 [1] CRAN (R 4.3.0)</w:t>
      </w:r>
      <w:r>
        <w:br/>
      </w:r>
      <w:r>
        <w:rPr>
          <w:rStyle w:val="VerbatimChar"/>
        </w:rPr>
        <w:t xml:space="preserve"> ggbeeswarm   * 0.7.2   2023-04-29 [1] CRAN (R 4.3.0)</w:t>
      </w:r>
      <w:r>
        <w:br/>
      </w:r>
      <w:r>
        <w:rPr>
          <w:rStyle w:val="VerbatimChar"/>
        </w:rPr>
        <w:t xml:space="preserve"> ggplot2      * 3.4.2   2023-04-03 [1] CRAN (R 4.3.0)</w:t>
      </w:r>
      <w:r>
        <w:br/>
      </w:r>
      <w:r>
        <w:rPr>
          <w:rStyle w:val="VerbatimChar"/>
        </w:rPr>
        <w:t xml:space="preserve"> ggrepel      * 0.9.6   2024-09-07 [1] CRAN (R 4.3.3)</w:t>
      </w:r>
      <w:r>
        <w:br/>
      </w:r>
      <w:r>
        <w:rPr>
          <w:rStyle w:val="VerbatimChar"/>
        </w:rPr>
        <w:t xml:space="preserve"> glue           1.6.2   2022-02-24 [1] CRAN (R 4.3.0)</w:t>
      </w:r>
      <w:r>
        <w:br/>
      </w:r>
      <w:r>
        <w:rPr>
          <w:rStyle w:val="VerbatimChar"/>
        </w:rPr>
        <w:t xml:space="preserve"> gridExtra      2.3     2017-09-09 [1] CRAN (R 4.3.0)</w:t>
      </w:r>
      <w:r>
        <w:br/>
      </w:r>
      <w:r>
        <w:rPr>
          <w:rStyle w:val="VerbatimChar"/>
        </w:rPr>
        <w:lastRenderedPageBreak/>
        <w:t xml:space="preserve"> gtable         0.3.3   2023-03-21 [1] CRAN (R 4.3.0)</w:t>
      </w:r>
      <w:r>
        <w:br/>
      </w:r>
      <w:r>
        <w:rPr>
          <w:rStyle w:val="VerbatimChar"/>
        </w:rPr>
        <w:t xml:space="preserve"> here         * 1.0.1   2020-12-13 [1] CRAN (R 4.3.0)</w:t>
      </w:r>
      <w:r>
        <w:br/>
      </w:r>
      <w:r>
        <w:rPr>
          <w:rStyle w:val="VerbatimChar"/>
        </w:rPr>
        <w:t xml:space="preserve"> hms            1.1.3   2023-03-21 [1] CRAN (R 4.3.0)</w:t>
      </w:r>
      <w:r>
        <w:br/>
      </w:r>
      <w:r>
        <w:rPr>
          <w:rStyle w:val="VerbatimChar"/>
        </w:rPr>
        <w:t xml:space="preserve"> htmltools      0.5.8.1 2024-04-04 [1] CRAN (R 4.3.1)</w:t>
      </w:r>
      <w:r>
        <w:br/>
      </w:r>
      <w:r>
        <w:rPr>
          <w:rStyle w:val="VerbatimChar"/>
        </w:rPr>
        <w:t xml:space="preserve"> htmlwidgets    1.6.4   2023-12-06 [1] CRAN (R 4.3.1)</w:t>
      </w:r>
      <w:r>
        <w:br/>
      </w:r>
      <w:r>
        <w:rPr>
          <w:rStyle w:val="VerbatimChar"/>
        </w:rPr>
        <w:t xml:space="preserve"> httpuv         1.6.15  2024-03-26 [1] CRAN (R 4.3.1)</w:t>
      </w:r>
      <w:r>
        <w:br/>
      </w:r>
      <w:r>
        <w:rPr>
          <w:rStyle w:val="VerbatimChar"/>
        </w:rPr>
        <w:t xml:space="preserve"> janitor        2.2.0   2023-02-02 [1] CRAN (R 4.3.0)</w:t>
      </w:r>
      <w:r>
        <w:br/>
      </w:r>
      <w:r>
        <w:rPr>
          <w:rStyle w:val="VerbatimChar"/>
        </w:rPr>
        <w:t xml:space="preserve"> jsonlite       1.8.7   2023-06-29 [1] CRAN (R 4.3.0)</w:t>
      </w:r>
      <w:r>
        <w:br/>
      </w:r>
      <w:r>
        <w:rPr>
          <w:rStyle w:val="VerbatimChar"/>
        </w:rPr>
        <w:t xml:space="preserve"> knitr          1.43    2023-05-25 [1] CRAN (R 4.3.0)</w:t>
      </w:r>
      <w:r>
        <w:br/>
      </w:r>
      <w:r>
        <w:rPr>
          <w:rStyle w:val="VerbatimChar"/>
        </w:rPr>
        <w:t xml:space="preserve"> labeling       0.4.2   2020-10-20 [1] CRAN (R 4.3.0)</w:t>
      </w:r>
      <w:r>
        <w:br/>
      </w:r>
      <w:r>
        <w:rPr>
          <w:rStyle w:val="VerbatimChar"/>
        </w:rPr>
        <w:t xml:space="preserve"> later          1.4.1   2024-11-27 [1] CRAN (R 4.3.3)</w:t>
      </w:r>
      <w:r>
        <w:br/>
      </w:r>
      <w:r>
        <w:rPr>
          <w:rStyle w:val="VerbatimChar"/>
        </w:rPr>
        <w:t xml:space="preserve"> lattice        0.21-8  2023-04-05 [1] CRAN (R 4.3.1)</w:t>
      </w:r>
      <w:r>
        <w:br/>
      </w:r>
      <w:r>
        <w:rPr>
          <w:rStyle w:val="VerbatimChar"/>
        </w:rPr>
        <w:t xml:space="preserve"> lifecycle      1.0.3   2022-10-07 [1] CRAN (R 4.3.0)</w:t>
      </w:r>
      <w:r>
        <w:br/>
      </w:r>
      <w:r>
        <w:rPr>
          <w:rStyle w:val="VerbatimChar"/>
        </w:rPr>
        <w:t xml:space="preserve"> lubridate    * 1.9.2   2023-02-10 [1] CRAN (R 4.3.0)</w:t>
      </w:r>
      <w:r>
        <w:br/>
      </w:r>
      <w:r>
        <w:rPr>
          <w:rStyle w:val="VerbatimChar"/>
        </w:rPr>
        <w:t xml:space="preserve"> magrittr       2.0.3   2022-03-30 [1] CRAN (R 4.3.0)</w:t>
      </w:r>
      <w:r>
        <w:br/>
      </w:r>
      <w:r>
        <w:rPr>
          <w:rStyle w:val="VerbatimChar"/>
        </w:rPr>
        <w:t xml:space="preserve"> mapproj        1.2.11  2023-01-12 [1] CRAN (R 4.3.0)</w:t>
      </w:r>
      <w:r>
        <w:br/>
      </w:r>
      <w:r>
        <w:rPr>
          <w:rStyle w:val="VerbatimChar"/>
        </w:rPr>
        <w:t xml:space="preserve"> maps           3.4.2.1 2024-11-10 [1] CRAN (R 4.3.3)</w:t>
      </w:r>
      <w:r>
        <w:br/>
      </w:r>
      <w:r>
        <w:rPr>
          <w:rStyle w:val="VerbatimChar"/>
        </w:rPr>
        <w:t xml:space="preserve"> Matrix         1.5-4.1 2023-05-18 [1] CRAN (R 4.3.1)</w:t>
      </w:r>
      <w:r>
        <w:br/>
      </w:r>
      <w:r>
        <w:rPr>
          <w:rStyle w:val="VerbatimChar"/>
        </w:rPr>
        <w:t xml:space="preserve"> memoise        2.0.1   2021-11-26 [1] CRAN (R 4.3.0)</w:t>
      </w:r>
      <w:r>
        <w:br/>
      </w:r>
      <w:r>
        <w:rPr>
          <w:rStyle w:val="VerbatimChar"/>
        </w:rPr>
        <w:t xml:space="preserve"> mgcv           1.8-42  2023-03-02 [1] CRAN (R 4.3.1)</w:t>
      </w:r>
      <w:r>
        <w:br/>
      </w:r>
      <w:r>
        <w:rPr>
          <w:rStyle w:val="VerbatimChar"/>
        </w:rPr>
        <w:t xml:space="preserve"> mime           0.12    2021-09-28 [1] CRAN (R 4.3.0)</w:t>
      </w:r>
      <w:r>
        <w:br/>
      </w:r>
      <w:r>
        <w:rPr>
          <w:rStyle w:val="VerbatimChar"/>
        </w:rPr>
        <w:t xml:space="preserve"> miniUI         0.1.1.1 2018-05-18 [1] CRAN (R 4.3.0)</w:t>
      </w:r>
      <w:r>
        <w:br/>
      </w:r>
      <w:r>
        <w:rPr>
          <w:rStyle w:val="VerbatimChar"/>
        </w:rPr>
        <w:t xml:space="preserve"> munsell        0.5.0   2018-06-12 [1] CRAN (R 4.3.0)</w:t>
      </w:r>
      <w:r>
        <w:br/>
      </w:r>
      <w:r>
        <w:rPr>
          <w:rStyle w:val="VerbatimChar"/>
        </w:rPr>
        <w:t xml:space="preserve"> nlme           3.1-162 2023-01-31 [1] CRAN (R 4.3.1)</w:t>
      </w:r>
      <w:r>
        <w:br/>
      </w:r>
      <w:r>
        <w:rPr>
          <w:rStyle w:val="VerbatimChar"/>
        </w:rPr>
        <w:t xml:space="preserve"> pillar         1.9.0   2023-03-22 [1] CRAN (R 4.3.0)</w:t>
      </w:r>
      <w:r>
        <w:br/>
      </w:r>
      <w:r>
        <w:rPr>
          <w:rStyle w:val="VerbatimChar"/>
        </w:rPr>
        <w:t xml:space="preserve"> pkgbuild       1.4.5   2024-10-28 [1] CRAN (R 4.3.3)</w:t>
      </w:r>
      <w:r>
        <w:br/>
      </w:r>
      <w:r>
        <w:rPr>
          <w:rStyle w:val="VerbatimChar"/>
        </w:rPr>
        <w:t xml:space="preserve"> pkgconfig      2.0.3   2019-09-22 [1] CRAN (R 4.3.0)</w:t>
      </w:r>
      <w:r>
        <w:br/>
      </w:r>
      <w:r>
        <w:rPr>
          <w:rStyle w:val="VerbatimChar"/>
        </w:rPr>
        <w:t xml:space="preserve"> pkgload        1.4.0   2024-06-28 [1] CRAN (R 4.3.3)</w:t>
      </w:r>
      <w:r>
        <w:br/>
      </w:r>
      <w:r>
        <w:rPr>
          <w:rStyle w:val="VerbatimChar"/>
        </w:rPr>
        <w:t xml:space="preserve"> png            0.1-8   2022-11-29 [1] CRAN (R 4.3.0)</w:t>
      </w:r>
      <w:r>
        <w:br/>
      </w:r>
      <w:r>
        <w:rPr>
          <w:rStyle w:val="VerbatimChar"/>
        </w:rPr>
        <w:t xml:space="preserve"> profvis        0.4.0   2024-09-20 [1] CRAN (R 4.3.3)</w:t>
      </w:r>
      <w:r>
        <w:br/>
      </w:r>
      <w:r>
        <w:rPr>
          <w:rStyle w:val="VerbatimChar"/>
        </w:rPr>
        <w:t xml:space="preserve"> promises       1.3.2   2024-11-28 [1] CRAN (R 4.3.3)</w:t>
      </w:r>
      <w:r>
        <w:br/>
      </w:r>
      <w:r>
        <w:rPr>
          <w:rStyle w:val="VerbatimChar"/>
        </w:rPr>
        <w:t xml:space="preserve"> purrr        * 1.0.1   2023-01-10 [1] CRAN (R 4.3.0)</w:t>
      </w:r>
      <w:r>
        <w:br/>
      </w:r>
      <w:r>
        <w:rPr>
          <w:rStyle w:val="VerbatimChar"/>
        </w:rPr>
        <w:t xml:space="preserve"> R6             2.5.1   2021-08-19 [1] CRAN (R 4.3.0)</w:t>
      </w:r>
      <w:r>
        <w:br/>
      </w:r>
      <w:r>
        <w:rPr>
          <w:rStyle w:val="VerbatimChar"/>
        </w:rPr>
        <w:t xml:space="preserve"> ragg           1.2.5   2023-01-12 [1] CRAN (R 4.3.0)</w:t>
      </w:r>
      <w:r>
        <w:br/>
      </w:r>
      <w:r>
        <w:rPr>
          <w:rStyle w:val="VerbatimChar"/>
        </w:rPr>
        <w:t xml:space="preserve"> RColorBrewer   1.1-3   2022-04-03 [1] CRAN (R 4.3.0)</w:t>
      </w:r>
      <w:r>
        <w:br/>
      </w:r>
      <w:r>
        <w:rPr>
          <w:rStyle w:val="VerbatimChar"/>
        </w:rPr>
        <w:t xml:space="preserve"> Rcpp           1.0.10  2023-01-22 [1] CRAN (R 4.3.0)</w:t>
      </w:r>
      <w:r>
        <w:br/>
      </w:r>
      <w:r>
        <w:rPr>
          <w:rStyle w:val="VerbatimChar"/>
        </w:rPr>
        <w:t xml:space="preserve"> readr        * 2.1.4   2023-02-10 [1] CRAN (R 4.3.0)</w:t>
      </w:r>
      <w:r>
        <w:br/>
      </w:r>
      <w:r>
        <w:rPr>
          <w:rStyle w:val="VerbatimChar"/>
        </w:rPr>
        <w:t xml:space="preserve"> readxl       * 1.4.2   2023-02-09 [1] CRAN (R 4.3.0)</w:t>
      </w:r>
      <w:r>
        <w:br/>
      </w:r>
      <w:r>
        <w:rPr>
          <w:rStyle w:val="VerbatimChar"/>
        </w:rPr>
        <w:t xml:space="preserve"> remotes        2.5.0   2024-03-17 [1] CRAN (R 4.3.1)</w:t>
      </w:r>
      <w:r>
        <w:br/>
      </w:r>
      <w:r>
        <w:rPr>
          <w:rStyle w:val="VerbatimChar"/>
        </w:rPr>
        <w:t xml:space="preserve"> rlang          1.1.1   2023-04-28 [1] CRAN (R 4.3.0)</w:t>
      </w:r>
      <w:r>
        <w:br/>
      </w:r>
      <w:r>
        <w:rPr>
          <w:rStyle w:val="VerbatimChar"/>
        </w:rPr>
        <w:t xml:space="preserve"> rlist        * 0.4.6.2 2021-09-03 [1] CRAN (R 4.3.0)</w:t>
      </w:r>
      <w:r>
        <w:br/>
      </w:r>
      <w:r>
        <w:rPr>
          <w:rStyle w:val="VerbatimChar"/>
        </w:rPr>
        <w:t xml:space="preserve"> rmarkdown      2.29    2024-11-04 [1] CRAN (R 4.3.3)</w:t>
      </w:r>
      <w:r>
        <w:br/>
      </w:r>
      <w:r>
        <w:rPr>
          <w:rStyle w:val="VerbatimChar"/>
        </w:rPr>
        <w:t xml:space="preserve"> rprojroot      2.0.3   2022-04-02 [1] CRAN (R 4.3.0)</w:t>
      </w:r>
      <w:r>
        <w:br/>
      </w:r>
      <w:r>
        <w:rPr>
          <w:rStyle w:val="VerbatimChar"/>
        </w:rPr>
        <w:t xml:space="preserve"> rstudioapi     0.14    2022-08-22 [1] CRAN (R 4.3.0)</w:t>
      </w:r>
      <w:r>
        <w:br/>
      </w:r>
      <w:r>
        <w:rPr>
          <w:rStyle w:val="VerbatimChar"/>
        </w:rPr>
        <w:t xml:space="preserve"> scales         1.2.1   2022-08-20 [1] CRAN (R 4.3.0)</w:t>
      </w:r>
      <w:r>
        <w:br/>
      </w:r>
      <w:r>
        <w:rPr>
          <w:rStyle w:val="VerbatimChar"/>
        </w:rPr>
        <w:t xml:space="preserve"> sessioninfo    1.2.2   2021-12-06 [1] CRAN (R 4.3.0)</w:t>
      </w:r>
      <w:r>
        <w:br/>
      </w:r>
      <w:r>
        <w:rPr>
          <w:rStyle w:val="VerbatimChar"/>
        </w:rPr>
        <w:t xml:space="preserve"> shiny          1.10.0  2024-12-14 [1] CRAN (R 4.3.3)</w:t>
      </w:r>
      <w:r>
        <w:br/>
      </w:r>
      <w:r>
        <w:rPr>
          <w:rStyle w:val="VerbatimChar"/>
        </w:rPr>
        <w:t xml:space="preserve"> snakecase      0.11.1  2023-08-27 [1] CRAN (R 4.3.0)</w:t>
      </w:r>
      <w:r>
        <w:br/>
      </w:r>
      <w:r>
        <w:rPr>
          <w:rStyle w:val="VerbatimChar"/>
        </w:rPr>
        <w:t xml:space="preserve"> stringi      * 1.7.12  2023-01-11 [1] CRAN (R 4.3.0)</w:t>
      </w:r>
      <w:r>
        <w:br/>
      </w:r>
      <w:r>
        <w:rPr>
          <w:rStyle w:val="VerbatimChar"/>
        </w:rPr>
        <w:t xml:space="preserve"> stringr      * 1.5.0   2022-12-02 [1] CRAN (R 4.3.0)</w:t>
      </w:r>
      <w:r>
        <w:br/>
      </w:r>
      <w:r>
        <w:rPr>
          <w:rStyle w:val="VerbatimChar"/>
        </w:rPr>
        <w:lastRenderedPageBreak/>
        <w:t xml:space="preserve"> systemfonts    1.0.4   2022-02-11 [1] CRAN (R 4.3.0)</w:t>
      </w:r>
      <w:r>
        <w:br/>
      </w:r>
      <w:r>
        <w:rPr>
          <w:rStyle w:val="VerbatimChar"/>
        </w:rPr>
        <w:t xml:space="preserve"> textshaping    0.3.6   2021-10-13 [1] CRAN (R 4.3.0)</w:t>
      </w:r>
      <w:r>
        <w:br/>
      </w:r>
      <w:r>
        <w:rPr>
          <w:rStyle w:val="VerbatimChar"/>
        </w:rPr>
        <w:t xml:space="preserve"> tibble       * 3.2.1   2023-03-20 [1] CRAN (R 4.3.0)</w:t>
      </w:r>
      <w:r>
        <w:br/>
      </w:r>
      <w:r>
        <w:rPr>
          <w:rStyle w:val="VerbatimChar"/>
        </w:rPr>
        <w:t xml:space="preserve"> tidyr        * 1.3.0   2023-01-24 [1] CRAN (R 4.3.0)</w:t>
      </w:r>
      <w:r>
        <w:br/>
      </w:r>
      <w:r>
        <w:rPr>
          <w:rStyle w:val="VerbatimChar"/>
        </w:rPr>
        <w:t xml:space="preserve"> tidyselect     1.2.0   2022-10-10 [1] CRAN (R 4.3.0)</w:t>
      </w:r>
      <w:r>
        <w:br/>
      </w:r>
      <w:r>
        <w:rPr>
          <w:rStyle w:val="VerbatimChar"/>
        </w:rPr>
        <w:t xml:space="preserve"> tidyverse    * 2.0.0   2023-02-22 [1] CRAN (R 4.3.0)</w:t>
      </w:r>
      <w:r>
        <w:br/>
      </w:r>
      <w:r>
        <w:rPr>
          <w:rStyle w:val="VerbatimChar"/>
        </w:rPr>
        <w:t xml:space="preserve"> timechange     0.2.0   2023-01-11 [1] CRAN (R 4.3.0)</w:t>
      </w:r>
      <w:r>
        <w:br/>
      </w:r>
      <w:r>
        <w:rPr>
          <w:rStyle w:val="VerbatimChar"/>
        </w:rPr>
        <w:t xml:space="preserve"> tzdb           0.4.0   2023-05-12 [1] CRAN (R 4.3.0)</w:t>
      </w:r>
      <w:r>
        <w:br/>
      </w:r>
      <w:r>
        <w:rPr>
          <w:rStyle w:val="VerbatimChar"/>
        </w:rPr>
        <w:t xml:space="preserve"> urlchecker     1.0.1   2021-11-30 [1] CRAN (R 4.3.0)</w:t>
      </w:r>
      <w:r>
        <w:br/>
      </w:r>
      <w:r>
        <w:rPr>
          <w:rStyle w:val="VerbatimChar"/>
        </w:rPr>
        <w:t xml:space="preserve"> usethis        3.1.0   2024-11-26 [1] CRAN (R 4.3.3)</w:t>
      </w:r>
      <w:r>
        <w:br/>
      </w:r>
      <w:r>
        <w:rPr>
          <w:rStyle w:val="VerbatimChar"/>
        </w:rPr>
        <w:t xml:space="preserve"> utf8           1.2.3   2023-01-31 [1] CRAN (R 4.3.0)</w:t>
      </w:r>
      <w:r>
        <w:br/>
      </w:r>
      <w:r>
        <w:rPr>
          <w:rStyle w:val="VerbatimChar"/>
        </w:rPr>
        <w:t xml:space="preserve"> vctrs          0.6.3   2023-06-14 [1] CRAN (R 4.3.0)</w:t>
      </w:r>
      <w:r>
        <w:br/>
      </w:r>
      <w:r>
        <w:rPr>
          <w:rStyle w:val="VerbatimChar"/>
        </w:rPr>
        <w:t xml:space="preserve"> vipor          0.4.7   2023-12-18 [1] CRAN (R 4.3.1)</w:t>
      </w:r>
      <w:r>
        <w:br/>
      </w:r>
      <w:r>
        <w:rPr>
          <w:rStyle w:val="VerbatimChar"/>
        </w:rPr>
        <w:t xml:space="preserve"> viridis      * 0.6.5   2024-01-29 [1] CRAN (R 4.3.1)</w:t>
      </w:r>
      <w:r>
        <w:br/>
      </w:r>
      <w:r>
        <w:rPr>
          <w:rStyle w:val="VerbatimChar"/>
        </w:rPr>
        <w:t xml:space="preserve"> viridisLite  * 0.4.2   2023-05-02 [1] CRAN (R 4.3.0)</w:t>
      </w:r>
      <w:r>
        <w:br/>
      </w:r>
      <w:r>
        <w:rPr>
          <w:rStyle w:val="VerbatimChar"/>
        </w:rPr>
        <w:t xml:space="preserve"> vroom          1.6.3   2023-04-28 [1] CRAN (R 4.3.0)</w:t>
      </w:r>
      <w:r>
        <w:br/>
      </w:r>
      <w:r>
        <w:rPr>
          <w:rStyle w:val="VerbatimChar"/>
        </w:rPr>
        <w:t xml:space="preserve"> withr          3.0.2   2024-10-28 [1] CRAN (R 4.3.3)</w:t>
      </w:r>
      <w:r>
        <w:br/>
      </w:r>
      <w:r>
        <w:rPr>
          <w:rStyle w:val="VerbatimChar"/>
        </w:rPr>
        <w:t xml:space="preserve"> xfun           0.39    2023-04-20 [1] CRAN (R 4.3.0)</w:t>
      </w:r>
      <w:r>
        <w:br/>
      </w:r>
      <w:r>
        <w:rPr>
          <w:rStyle w:val="VerbatimChar"/>
        </w:rPr>
        <w:t xml:space="preserve"> xtable         1.8-4   2019-04-21 [1] CRAN (R 4.3.0)</w:t>
      </w:r>
      <w:r>
        <w:br/>
      </w:r>
      <w:r>
        <w:rPr>
          <w:rStyle w:val="VerbatimChar"/>
        </w:rPr>
        <w:t xml:space="preserve"> yaml           2.3.7   2023-01-23 [1] CRAN (R 4.3.0)</w:t>
      </w:r>
      <w:r>
        <w:br/>
      </w:r>
      <w:r>
        <w:br/>
      </w:r>
      <w:r>
        <w:rPr>
          <w:rStyle w:val="VerbatimChar"/>
        </w:rPr>
        <w:t xml:space="preserve"> [1] /Library/Frameworks/R.framework/Versions/4.3-arm64/Resources/library</w:t>
      </w:r>
      <w:r>
        <w:br/>
      </w:r>
      <w:r>
        <w:br/>
      </w:r>
      <w:r>
        <w:rPr>
          <w:rStyle w:val="VerbatimChar"/>
        </w:rPr>
        <w:t>──────────────────────────────────────────────────────────────────────────────</w:t>
      </w:r>
    </w:p>
    <w:p w14:paraId="5A82F6F8" w14:textId="77777777" w:rsidR="0094287D" w:rsidRDefault="00000000">
      <w:pPr>
        <w:pStyle w:val="FirstParagraph"/>
      </w:pPr>
      <w:r>
        <w:t>The current Git commit details are:</w:t>
      </w:r>
    </w:p>
    <w:p w14:paraId="6D4977CF" w14:textId="77777777" w:rsidR="0094287D" w:rsidRDefault="00000000">
      <w:pPr>
        <w:pStyle w:val="SourceCode"/>
      </w:pPr>
      <w:r>
        <w:rPr>
          <w:rStyle w:val="VerbatimChar"/>
        </w:rPr>
        <w:t>Local:    main /Users/jessicabeck/archyjobads</w:t>
      </w:r>
      <w:r>
        <w:br/>
      </w:r>
      <w:r>
        <w:rPr>
          <w:rStyle w:val="VerbatimChar"/>
        </w:rPr>
        <w:t>Remote:   main @ origin (https://github.com/benmarwick/archyjobads)</w:t>
      </w:r>
      <w:r>
        <w:br/>
      </w:r>
      <w:r>
        <w:rPr>
          <w:rStyle w:val="VerbatimChar"/>
        </w:rPr>
        <w:t>Head:     [5c8b611] 2025-01-21: JB edits (final, hopefully, excepting references) on 21 January 2025</w:t>
      </w:r>
      <w:bookmarkEnd w:id="20"/>
      <w:bookmarkEnd w:id="72"/>
    </w:p>
    <w:sectPr w:rsidR="0094287D" w:rsidSect="00014752">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660AF73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182478847">
    <w:abstractNumId w:val="2"/>
  </w:num>
  <w:num w:numId="2" w16cid:durableId="813789505">
    <w:abstractNumId w:val="1"/>
  </w:num>
  <w:num w:numId="3" w16cid:durableId="1063913414">
    <w:abstractNumId w:val="0"/>
  </w:num>
  <w:num w:numId="4" w16cid:durableId="9514018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391A2C"/>
    <w:rsid w:val="004C579B"/>
    <w:rsid w:val="004E29B3"/>
    <w:rsid w:val="00515470"/>
    <w:rsid w:val="00590D07"/>
    <w:rsid w:val="005A091B"/>
    <w:rsid w:val="00705E12"/>
    <w:rsid w:val="00784D58"/>
    <w:rsid w:val="00884F3F"/>
    <w:rsid w:val="008D6863"/>
    <w:rsid w:val="0094287D"/>
    <w:rsid w:val="00970303"/>
    <w:rsid w:val="00AA0A2F"/>
    <w:rsid w:val="00B86B75"/>
    <w:rsid w:val="00BC48D5"/>
    <w:rsid w:val="00C36279"/>
    <w:rsid w:val="00DA425F"/>
    <w:rsid w:val="00E31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35ED2"/>
  <w15:docId w15:val="{95A4E929-239B-6E42-9B44-F6FF667D8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doi.org/10.1017/aap.2022.8" TargetMode="External"/><Relationship Id="rId26" Type="http://schemas.openxmlformats.org/officeDocument/2006/relationships/hyperlink" Target="https://www.higheredjobs.com/Articles/articleDisplay.cfm?ID=3948" TargetMode="External"/><Relationship Id="rId39" Type="http://schemas.openxmlformats.org/officeDocument/2006/relationships/hyperlink" Target="https://doi.org/10.1515/opar-2022-0309" TargetMode="External"/><Relationship Id="rId21" Type="http://schemas.openxmlformats.org/officeDocument/2006/relationships/hyperlink" Target="https://doi.org/10.1007/s11192-021-03917-y" TargetMode="External"/><Relationship Id="rId34" Type="http://schemas.openxmlformats.org/officeDocument/2006/relationships/hyperlink" Target="https://www.anthropology-news.org/articles/lets-make-the-academic-job-market-more-humane/" TargetMode="External"/><Relationship Id="rId42" Type="http://schemas.openxmlformats.org/officeDocument/2006/relationships/hyperlink" Target="https://doi.org/10.1038/s41586-022-05222-x"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doi.org/10.48550/arXiv.1803.00125" TargetMode="External"/><Relationship Id="rId29" Type="http://schemas.openxmlformats.org/officeDocument/2006/relationships/hyperlink" Target="https://doi.org/10.1111/aman.13158"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anthropology-news.org/articles/hello-to-tristes-tropes/" TargetMode="External"/><Relationship Id="rId32" Type="http://schemas.openxmlformats.org/officeDocument/2006/relationships/hyperlink" Target="https://doi.org/10.7326/M20-6306" TargetMode="External"/><Relationship Id="rId37" Type="http://schemas.openxmlformats.org/officeDocument/2006/relationships/hyperlink" Target="https://doi.org/10.1002/ajpa.23457" TargetMode="External"/><Relationship Id="rId40" Type="http://schemas.openxmlformats.org/officeDocument/2006/relationships/hyperlink" Target="https://doi.org/10.1093/cid/ciaa815" TargetMode="External"/><Relationship Id="rId45" Type="http://schemas.openxmlformats.org/officeDocument/2006/relationships/theme" Target="theme/theme1.xml"/><Relationship Id="rId5" Type="http://schemas.openxmlformats.org/officeDocument/2006/relationships/hyperlink" Target="mailto:bmarwick@uw.edu" TargetMode="External"/><Relationship Id="rId15" Type="http://schemas.openxmlformats.org/officeDocument/2006/relationships/hyperlink" Target="https://doi.org/10.1017/eaa.2022.41" TargetMode="External"/><Relationship Id="rId23" Type="http://schemas.openxmlformats.org/officeDocument/2006/relationships/hyperlink" Target="https://doi.org/10.1007/s10761-020-00577-1" TargetMode="External"/><Relationship Id="rId28" Type="http://schemas.openxmlformats.org/officeDocument/2006/relationships/hyperlink" Target="https://doi.org/10.1093/geront/gnw001" TargetMode="External"/><Relationship Id="rId36" Type="http://schemas.openxmlformats.org/officeDocument/2006/relationships/hyperlink" Target="https://doi.org/10.1111/cars.12252" TargetMode="External"/><Relationship Id="rId10" Type="http://schemas.openxmlformats.org/officeDocument/2006/relationships/image" Target="media/image5.png"/><Relationship Id="rId19" Type="http://schemas.openxmlformats.org/officeDocument/2006/relationships/hyperlink" Target="https://doi.org/10.1111/aman.13781" TargetMode="External"/><Relationship Id="rId31" Type="http://schemas.openxmlformats.org/officeDocument/2006/relationships/hyperlink" Target="https://doi.org/10.1002/sres.2210"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oi.org/10.1111/j.1460-2466.2010.01487.x" TargetMode="External"/><Relationship Id="rId22" Type="http://schemas.openxmlformats.org/officeDocument/2006/relationships/hyperlink" Target="https://doi.org/10.1017/aaq.2021.18" TargetMode="External"/><Relationship Id="rId27" Type="http://schemas.openxmlformats.org/officeDocument/2006/relationships/hyperlink" Target="https://doi.org/10.1111/amet.12520" TargetMode="External"/><Relationship Id="rId30" Type="http://schemas.openxmlformats.org/officeDocument/2006/relationships/hyperlink" Target="https://doi.org/10.1017/aaq.2022.59" TargetMode="External"/><Relationship Id="rId35" Type="http://schemas.openxmlformats.org/officeDocument/2006/relationships/hyperlink" Target="https://doi.org/10.1017/aap.2023.21" TargetMode="External"/><Relationship Id="rId43" Type="http://schemas.openxmlformats.org/officeDocument/2006/relationships/hyperlink" Target="https://doi.org/10.1038/d41586-020-01656-3"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doi.org/10.1126/sciadv.1400005" TargetMode="External"/><Relationship Id="rId25" Type="http://schemas.openxmlformats.org/officeDocument/2006/relationships/hyperlink" Target="https://doi.org/10.1002/sres.2324" TargetMode="External"/><Relationship Id="rId33" Type="http://schemas.openxmlformats.org/officeDocument/2006/relationships/hyperlink" Target="https://doi.org/10.1371/journal.pone.0285330" TargetMode="External"/><Relationship Id="rId38" Type="http://schemas.openxmlformats.org/officeDocument/2006/relationships/hyperlink" Target="https://culanth.org/fieldsights/academic-precarity-in-american-anthropology" TargetMode="External"/><Relationship Id="rId20" Type="http://schemas.openxmlformats.org/officeDocument/2006/relationships/hyperlink" Target="https://doi.org/10.1073/pnas.2117320119" TargetMode="External"/><Relationship Id="rId41" Type="http://schemas.openxmlformats.org/officeDocument/2006/relationships/hyperlink" Target="https://doi.org/10.1111/j.1556-3502.2010.51904.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9408</Words>
  <Characters>53631</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Hire Ed: Job Market Dynamics for Tenure-Track Faculty Positions in Archaeology</vt:lpstr>
    </vt:vector>
  </TitlesOfParts>
  <Manager/>
  <Company/>
  <LinksUpToDate>false</LinksUpToDate>
  <CharactersWithSpaces>62914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cp:lastModifiedBy>Jess Beck</cp:lastModifiedBy>
  <cp:revision>3</cp:revision>
  <dcterms:created xsi:type="dcterms:W3CDTF">2025-01-25T13:02:00Z</dcterms:created>
  <dcterms:modified xsi:type="dcterms:W3CDTF">2025-01-25T16:02:00Z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January 25,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